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F3A8A77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6532BAC7" w14:textId="77777777" w:rsidR="0065182D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2444362" w14:textId="166E8985" w:rsidR="009C181A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520A96">
        <w:rPr>
          <w:rFonts w:ascii="Sylfaen" w:hAnsi="Sylfaen"/>
          <w:b/>
          <w:bCs/>
          <w:sz w:val="28"/>
          <w:szCs w:val="28"/>
          <w:lang w:val="ka-GE"/>
        </w:rPr>
        <w:t xml:space="preserve">ტენდერი - </w:t>
      </w:r>
      <w:r w:rsidR="00D203D0" w:rsidRPr="00D203D0">
        <w:rPr>
          <w:rFonts w:ascii="Sylfaen" w:hAnsi="Sylfaen"/>
          <w:b/>
          <w:bCs/>
          <w:sz w:val="28"/>
          <w:szCs w:val="28"/>
          <w:lang w:val="ka-GE"/>
        </w:rPr>
        <w:t>პრივილეგირებული წვდომის მართვის(PAM) პროგრამული უზრუნველყოფის 1 წლიანი ლიცენზიის განახლება</w:t>
      </w: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9A93DBD" w14:textId="6CB26A0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139A7DD1" w14:textId="1AF63699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2125FBB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4CDDAFC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089DD16" w14:textId="23F377C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EE6D025" w14:textId="6B1E5358" w:rsidR="00FD0551" w:rsidRPr="00D203D0" w:rsidRDefault="0065182D" w:rsidP="00FD055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ტენდერის მიზანი - </w:t>
      </w:r>
      <w:r>
        <w:rPr>
          <w:rFonts w:ascii="Sylfaen" w:hAnsi="Sylfaen"/>
          <w:b/>
          <w:bCs/>
          <w:lang w:val="ka-GE"/>
        </w:rPr>
        <w:tab/>
      </w:r>
      <w:r w:rsidR="009C69EA" w:rsidRPr="009C69EA">
        <w:rPr>
          <w:rFonts w:ascii="Sylfaen" w:hAnsi="Sylfaen"/>
          <w:sz w:val="20"/>
          <w:szCs w:val="20"/>
          <w:lang w:val="ka-GE"/>
        </w:rPr>
        <w:t>სს ჰეშ ბანკი აცხადებს ელექტრონულ ტენდერს</w:t>
      </w:r>
      <w:r w:rsidR="00FD0551">
        <w:rPr>
          <w:rFonts w:ascii="Sylfaen" w:hAnsi="Sylfaen"/>
          <w:sz w:val="20"/>
          <w:szCs w:val="20"/>
          <w:lang w:val="ka-GE"/>
        </w:rPr>
        <w:t xml:space="preserve"> </w:t>
      </w:r>
      <w:r w:rsidR="00D203D0" w:rsidRPr="00D203D0">
        <w:rPr>
          <w:rFonts w:ascii="Sylfaen" w:hAnsi="Sylfaen"/>
          <w:sz w:val="20"/>
          <w:szCs w:val="20"/>
          <w:lang w:val="ka-GE"/>
        </w:rPr>
        <w:t>პრივილეგირებული წვდომის მართვის(</w:t>
      </w:r>
      <w:r w:rsidR="00D203D0" w:rsidRPr="00D203D0">
        <w:rPr>
          <w:rFonts w:ascii="Sylfaen" w:hAnsi="Sylfaen"/>
          <w:sz w:val="20"/>
          <w:szCs w:val="20"/>
        </w:rPr>
        <w:t xml:space="preserve">PAM) </w:t>
      </w:r>
      <w:r w:rsidR="00D203D0" w:rsidRPr="00D203D0">
        <w:rPr>
          <w:rFonts w:ascii="Sylfaen" w:hAnsi="Sylfaen"/>
          <w:sz w:val="20"/>
          <w:szCs w:val="20"/>
          <w:lang w:val="ka-GE"/>
        </w:rPr>
        <w:t>პროგრამული უზრუნველყოფის 1 წლიანი ლიცენზიის განახლებ</w:t>
      </w:r>
      <w:r w:rsidR="00D203D0">
        <w:rPr>
          <w:rFonts w:ascii="Sylfaen" w:hAnsi="Sylfaen"/>
          <w:sz w:val="20"/>
          <w:szCs w:val="20"/>
          <w:lang w:val="ka-GE"/>
        </w:rPr>
        <w:t>აზე</w:t>
      </w:r>
    </w:p>
    <w:p w14:paraId="6B4A2330" w14:textId="0A843C50" w:rsidR="0065182D" w:rsidRDefault="009C69EA" w:rsidP="009C69EA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33F8A5E" w14:textId="47F7A5B3" w:rsidR="009C69EA" w:rsidRDefault="009C69EA" w:rsidP="009C69EA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029C8FA2" w14:textId="76F50363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308FEB85" w14:textId="1C4B1F37" w:rsidR="00D209A1" w:rsidRP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49B8CEF4" w14:textId="51E8516A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79B877BC" w14:textId="5743765C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>17</w:t>
      </w:r>
      <w:r>
        <w:rPr>
          <w:rFonts w:ascii="Sylfaen" w:hAnsi="Sylfaen" w:cs="Sylfaen"/>
          <w:sz w:val="20"/>
          <w:lang w:val="ka-GE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 xml:space="preserve">ივლისი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5C998928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="00D209A1"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 </w:t>
      </w:r>
      <w:r>
        <w:rPr>
          <w:rFonts w:ascii="Sylfaen" w:hAnsi="Sylfaen" w:cs="Sylfaen"/>
          <w:sz w:val="20"/>
          <w:lang w:val="ka-GE"/>
        </w:rPr>
        <w:t xml:space="preserve">31 ივლისი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68AABAF2" w14:textId="77777777" w:rsidR="00D209A1" w:rsidRPr="00905499" w:rsidRDefault="00D209A1" w:rsidP="00D209A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147371E0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5AF178F" w14:textId="29277861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6A41FA40" w14:textId="002A615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4E5E6C7" w14:textId="77777777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2BDAAA2" w14:textId="71480D79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7439C846" w14:textId="67C5263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11588891" w14:textId="0C7BE212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79C7348" w14:textId="17FF411D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86B2E62" w14:textId="02255DA7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E8690EE" w14:textId="3B72DC52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407B08E3" w14:textId="4B10B0C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A5B751F" w14:textId="01A91F80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02A20EE" w14:textId="0FBEDCC5" w:rsidR="00FD0551" w:rsidRPr="00120E17" w:rsidRDefault="00FD0551" w:rsidP="009C69EA">
      <w:pPr>
        <w:rPr>
          <w:rFonts w:ascii="Sylfaen" w:hAnsi="Sylfaen" w:cs="Sylfaen"/>
          <w:b/>
          <w:lang w:val="ka-GE"/>
        </w:rPr>
      </w:pPr>
      <w:proofErr w:type="spellStart"/>
      <w:r w:rsidRPr="00120E17">
        <w:rPr>
          <w:rFonts w:ascii="Sylfaen" w:hAnsi="Sylfaen" w:cs="Sylfaen"/>
          <w:b/>
        </w:rPr>
        <w:lastRenderedPageBreak/>
        <w:t>ტენდერით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შესასყიდი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პროდუქტის</w:t>
      </w:r>
      <w:proofErr w:type="spellEnd"/>
      <w:r w:rsidRPr="00120E17">
        <w:rPr>
          <w:rFonts w:ascii="Sylfaen" w:hAnsi="Sylfaen" w:cs="Sylfaen"/>
          <w:b/>
        </w:rPr>
        <w:t>/</w:t>
      </w:r>
      <w:proofErr w:type="spellStart"/>
      <w:r w:rsidRPr="00120E17">
        <w:rPr>
          <w:rFonts w:ascii="Sylfaen" w:hAnsi="Sylfaen" w:cs="Sylfaen"/>
          <w:b/>
        </w:rPr>
        <w:t>მომსახურების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ტექნიკური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მახასიათებლები</w:t>
      </w:r>
      <w:proofErr w:type="spellEnd"/>
      <w:r w:rsidRPr="00120E17">
        <w:rPr>
          <w:rFonts w:ascii="Sylfaen" w:hAnsi="Sylfaen" w:cs="Sylfaen"/>
          <w:b/>
          <w:lang w:val="ka-GE"/>
        </w:rPr>
        <w:t>:</w:t>
      </w:r>
    </w:p>
    <w:p w14:paraId="28282485" w14:textId="270DC993" w:rsid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56FADC46" w14:textId="70E15B65" w:rsidR="00FD0551" w:rsidRPr="00D203D0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0BBF18DE" w14:textId="71CB2FED" w:rsidR="00D203D0" w:rsidRPr="00D203D0" w:rsidRDefault="00D203D0" w:rsidP="00D203D0">
      <w:pPr>
        <w:rPr>
          <w:rFonts w:ascii="Sylfaen" w:hAnsi="Sylfaen"/>
          <w:iCs/>
          <w:sz w:val="20"/>
          <w:lang w:val="ka-GE"/>
        </w:rPr>
      </w:pPr>
      <w:r w:rsidRPr="00D203D0">
        <w:rPr>
          <w:rFonts w:ascii="Sylfaen" w:hAnsi="Sylfaen"/>
          <w:iCs/>
          <w:sz w:val="20"/>
          <w:lang w:val="ka-GE"/>
        </w:rPr>
        <w:t xml:space="preserve">     PAM – 1 წლიანი </w:t>
      </w:r>
      <w:proofErr w:type="gramStart"/>
      <w:r w:rsidRPr="00D203D0">
        <w:rPr>
          <w:rFonts w:ascii="Sylfaen" w:hAnsi="Sylfaen"/>
          <w:iCs/>
          <w:sz w:val="20"/>
          <w:lang w:val="ka-GE"/>
        </w:rPr>
        <w:t>ლიცენზიის  განახლების</w:t>
      </w:r>
      <w:proofErr w:type="gramEnd"/>
      <w:r w:rsidRPr="00D203D0">
        <w:rPr>
          <w:rFonts w:ascii="Sylfaen" w:hAnsi="Sylfaen"/>
          <w:iCs/>
          <w:sz w:val="20"/>
          <w:lang w:val="ka-GE"/>
        </w:rPr>
        <w:t xml:space="preserve"> შესყიდვა</w:t>
      </w:r>
    </w:p>
    <w:p w14:paraId="3D29B705" w14:textId="77777777" w:rsidR="00D203D0" w:rsidRDefault="00D203D0" w:rsidP="00D203D0"/>
    <w:tbl>
      <w:tblPr>
        <w:tblW w:w="8065" w:type="dxa"/>
        <w:tblLook w:val="04A0" w:firstRow="1" w:lastRow="0" w:firstColumn="1" w:lastColumn="0" w:noHBand="0" w:noVBand="1"/>
      </w:tblPr>
      <w:tblGrid>
        <w:gridCol w:w="2860"/>
        <w:gridCol w:w="3720"/>
        <w:gridCol w:w="1485"/>
      </w:tblGrid>
      <w:tr w:rsidR="00D203D0" w:rsidRPr="00AF0B2E" w14:paraId="4B075EC5" w14:textId="77777777" w:rsidTr="000F2693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045F0167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კოდი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4BC583F0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დასახელება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73637EE0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რაოდენობა</w:t>
            </w:r>
            <w:proofErr w:type="spellEnd"/>
          </w:p>
        </w:tc>
      </w:tr>
      <w:tr w:rsidR="00D203D0" w:rsidRPr="00AF0B2E" w14:paraId="71B22DE4" w14:textId="77777777" w:rsidTr="000F2693">
        <w:trPr>
          <w:trHeight w:val="45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E18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1B2E">
              <w:rPr>
                <w:rFonts w:ascii="Sylfaen" w:eastAsia="Times New Roman" w:hAnsi="Sylfaen" w:cs="Calibri"/>
                <w:color w:val="000000"/>
              </w:rPr>
              <w:t>FPAM-150 -Sbscr-1Ystand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974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1B2E">
              <w:rPr>
                <w:rFonts w:ascii="Sylfaen" w:eastAsia="Times New Roman" w:hAnsi="Sylfaen" w:cs="Calibri"/>
                <w:color w:val="000000"/>
              </w:rPr>
              <w:t>Fudo PAM 150 servers Subscription with support Standard 1Y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EFF" w14:textId="77777777" w:rsidR="00D203D0" w:rsidRPr="00AF0B2E" w:rsidRDefault="00D203D0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150</w:t>
            </w:r>
          </w:p>
        </w:tc>
      </w:tr>
    </w:tbl>
    <w:p w14:paraId="107C1619" w14:textId="77777777" w:rsidR="00FD0551" w:rsidRP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6C9979BE" w14:textId="77777777" w:rsidR="00520A96" w:rsidRDefault="00520A96" w:rsidP="00520A96">
      <w:pPr>
        <w:pStyle w:val="Default"/>
        <w:ind w:left="0"/>
        <w:rPr>
          <w:b/>
          <w:sz w:val="22"/>
          <w:szCs w:val="22"/>
        </w:rPr>
      </w:pPr>
    </w:p>
    <w:p w14:paraId="042FF41F" w14:textId="4E4C9FC0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63E4AC46" w14:textId="3D68B7C4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E25108C" w14:textId="77777777" w:rsidR="000C1D56" w:rsidRPr="00744156" w:rsidRDefault="000C1D56" w:rsidP="000C1D56">
      <w:pPr>
        <w:pStyle w:val="Default"/>
        <w:ind w:left="1138" w:hanging="1138"/>
        <w:rPr>
          <w:b/>
          <w:sz w:val="22"/>
          <w:szCs w:val="22"/>
        </w:rPr>
      </w:pPr>
    </w:p>
    <w:p w14:paraId="7EF89B1B" w14:textId="29D1C5FC" w:rsid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noProof/>
          <w:color w:val="auto"/>
          <w:sz w:val="20"/>
          <w:szCs w:val="22"/>
          <w:lang w:val="ka-GE"/>
        </w:rPr>
        <w:drawing>
          <wp:anchor distT="0" distB="0" distL="0" distR="0" simplePos="0" relativeHeight="251659264" behindDoc="1" locked="0" layoutInCell="1" allowOverlap="1" wp14:anchorId="4FCD28B1" wp14:editId="0C9EFCC0">
            <wp:simplePos x="0" y="0"/>
            <wp:positionH relativeFrom="page">
              <wp:posOffset>6682740</wp:posOffset>
            </wp:positionH>
            <wp:positionV relativeFrom="paragraph">
              <wp:posOffset>215265</wp:posOffset>
            </wp:positionV>
            <wp:extent cx="7620" cy="22860"/>
            <wp:effectExtent l="0" t="0" r="0" b="0"/>
            <wp:wrapTopAndBottom/>
            <wp:docPr id="13292574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მომწოდებელი კომპანია უნდა იყოს შემოთავაზებული პროდუქტის მწარმოებლი</w:t>
      </w:r>
      <w:r w:rsidR="00047E23">
        <w:rPr>
          <w:rFonts w:cstheme="minorBidi"/>
          <w:iCs/>
          <w:color w:val="auto"/>
          <w:sz w:val="20"/>
          <w:szCs w:val="22"/>
          <w:lang w:val="ka-GE"/>
        </w:rPr>
        <w:t>ს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47E23">
        <w:rPr>
          <w:rFonts w:cstheme="minorBidi"/>
          <w:iCs/>
          <w:color w:val="auto"/>
          <w:sz w:val="20"/>
          <w:szCs w:val="22"/>
          <w:lang w:val="ka-GE"/>
        </w:rPr>
        <w:t>ოფიციალური პარტნიორი და უნდა წარმოადგინოს ავტორიზაციის ფორმა ამ კონკრეტული შესყიდვისთვის (MAF)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6FA52A56" w14:textId="60CD4C3C" w:rsidR="00CE6ABE" w:rsidRP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9BB752F" w14:textId="6B7894EB" w:rsidR="00CE6ABE" w:rsidRDefault="006B05A4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პრეტენდენტმა უნდა წარმოადგინოს განფასება/ფასთა ცხრილი </w:t>
      </w:r>
      <w:r w:rsidRPr="006B05A4">
        <w:rPr>
          <w:rFonts w:ascii="Sylfaen" w:hAnsi="Sylfaen"/>
          <w:b/>
          <w:bCs/>
          <w:iCs/>
          <w:sz w:val="20"/>
          <w:lang w:val="ka-GE"/>
        </w:rPr>
        <w:t>დანართი #</w:t>
      </w:r>
      <w:r w:rsidR="00CE6ABE">
        <w:rPr>
          <w:rFonts w:ascii="Sylfaen" w:hAnsi="Sylfaen"/>
          <w:b/>
          <w:bCs/>
          <w:iCs/>
          <w:sz w:val="20"/>
          <w:lang w:val="ka-GE"/>
        </w:rPr>
        <w:t>2</w:t>
      </w:r>
      <w:r>
        <w:rPr>
          <w:rFonts w:ascii="Sylfaen" w:hAnsi="Sylfaen"/>
          <w:iCs/>
          <w:sz w:val="20"/>
          <w:lang w:val="ka-GE"/>
        </w:rPr>
        <w:t xml:space="preserve"> სახით, </w:t>
      </w:r>
      <w:r>
        <w:rPr>
          <w:rFonts w:ascii="Sylfaen" w:hAnsi="Sylfaen"/>
          <w:iCs/>
          <w:sz w:val="20"/>
        </w:rPr>
        <w:t xml:space="preserve">PDF </w:t>
      </w:r>
      <w:r>
        <w:rPr>
          <w:rFonts w:ascii="Sylfaen" w:hAnsi="Sylfaen"/>
          <w:iCs/>
          <w:sz w:val="20"/>
          <w:lang w:val="ka-GE"/>
        </w:rPr>
        <w:t>ფორმატში უფლებამოსილი პირის მიერ ხელმოწერილი და ასევე ექსელის ფაილის სახით</w:t>
      </w:r>
    </w:p>
    <w:p w14:paraId="3BB3FE51" w14:textId="749FD2DF" w:rsidR="000C1D56" w:rsidRP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 კომპანიას უნდა ჰქონდეს დანერგილი მინიმუმ 1 ანალოგიური პროექტი.</w:t>
      </w:r>
      <w:r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C1D56">
        <w:rPr>
          <w:sz w:val="20"/>
          <w:szCs w:val="20"/>
          <w:lang w:val="ka-GE"/>
        </w:rPr>
        <w:t xml:space="preserve">ფაქტის დასადასტურებლად გთხოვთ წარმოადგინოთ გაფორმებული ხელშეკრულება </w:t>
      </w:r>
      <w:r>
        <w:rPr>
          <w:rFonts w:cstheme="minorBidi"/>
          <w:iCs/>
          <w:color w:val="auto"/>
          <w:sz w:val="20"/>
          <w:szCs w:val="22"/>
          <w:lang w:val="ka-GE"/>
        </w:rPr>
        <w:t>ან სხვა დამადასტურებელი ოფიციალური დოკუმენტი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2E8CA8BE" w14:textId="5A87F0B0" w:rsidR="00120E17" w:rsidRPr="00120E17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#3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>
        <w:rPr>
          <w:rFonts w:ascii="Sylfaen" w:hAnsi="Sylfaen" w:cs="Sylfaen"/>
          <w:sz w:val="20"/>
          <w:lang w:val="ka-GE"/>
        </w:rPr>
        <w:t>ნასყიდობის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>ხელშეკრულება არის შაბლონური სახის და დაკორექტირდება პრეტენდენტან ინდივიდუალურად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</w:t>
      </w:r>
      <w:r w:rsidR="00CE6ABE">
        <w:rPr>
          <w:rFonts w:ascii="Sylfaen" w:hAnsi="Sylfaen" w:cs="Sylfaen"/>
          <w:sz w:val="20"/>
          <w:lang w:val="ka-GE"/>
        </w:rPr>
        <w:t>სები</w:t>
      </w:r>
      <w:r w:rsidRPr="00120E17">
        <w:rPr>
          <w:rFonts w:ascii="Sylfaen" w:hAnsi="Sylfaen" w:cs="Sylfaen"/>
          <w:sz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6FCE236D" w14:textId="604E1F9C" w:rsidR="00FD0551" w:rsidRPr="00FD5B9D" w:rsidRDefault="00FD0551" w:rsidP="00120E17">
      <w:pPr>
        <w:pStyle w:val="ListParagraph"/>
        <w:spacing w:after="0" w:line="240" w:lineRule="auto"/>
        <w:ind w:left="1080"/>
        <w:jc w:val="both"/>
        <w:rPr>
          <w:rFonts w:ascii="Sylfaen" w:hAnsi="Sylfaen" w:cs="Sylfaen"/>
          <w:sz w:val="20"/>
          <w:lang w:val="ka-GE"/>
        </w:rPr>
      </w:pPr>
    </w:p>
    <w:p w14:paraId="755EBA7C" w14:textId="756CDCD3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C60768C" w14:textId="4BB0C847" w:rsidR="001913BA" w:rsidRDefault="001913BA" w:rsidP="009C69EA">
      <w:pPr>
        <w:rPr>
          <w:rFonts w:ascii="Sylfaen" w:hAnsi="Sylfaen"/>
          <w:iCs/>
          <w:sz w:val="20"/>
          <w:lang w:val="ka-GE"/>
        </w:rPr>
      </w:pPr>
    </w:p>
    <w:p w14:paraId="0B86CA6C" w14:textId="5106AA66" w:rsidR="001913BA" w:rsidRDefault="001913BA" w:rsidP="001913BA">
      <w:pPr>
        <w:rPr>
          <w:rFonts w:ascii="Sylfaen" w:hAnsi="Sylfaen" w:cs="Sylfaen"/>
          <w:b/>
          <w:sz w:val="20"/>
          <w:lang w:val="ka-GE"/>
        </w:rPr>
      </w:pPr>
    </w:p>
    <w:p w14:paraId="07C3F1C9" w14:textId="2C298799" w:rsidR="00CE6ABE" w:rsidRDefault="00CE6ABE" w:rsidP="001913BA">
      <w:pPr>
        <w:rPr>
          <w:rFonts w:ascii="Sylfaen" w:hAnsi="Sylfaen" w:cs="Sylfaen"/>
          <w:b/>
          <w:sz w:val="20"/>
          <w:lang w:val="ka-GE"/>
        </w:rPr>
      </w:pPr>
    </w:p>
    <w:p w14:paraId="5043D57E" w14:textId="5562259A" w:rsidR="00D203D0" w:rsidRDefault="00D203D0" w:rsidP="001913BA">
      <w:pPr>
        <w:rPr>
          <w:rFonts w:ascii="Sylfaen" w:hAnsi="Sylfaen" w:cs="Sylfaen"/>
          <w:b/>
          <w:sz w:val="20"/>
          <w:lang w:val="ka-GE"/>
        </w:rPr>
      </w:pPr>
    </w:p>
    <w:p w14:paraId="31497530" w14:textId="77777777" w:rsidR="00D203D0" w:rsidRPr="00905499" w:rsidRDefault="00D203D0" w:rsidP="001913BA">
      <w:pPr>
        <w:rPr>
          <w:rFonts w:ascii="Sylfaen" w:hAnsi="Sylfaen" w:cs="Sylfaen"/>
          <w:b/>
          <w:sz w:val="20"/>
          <w:lang w:val="ka-GE"/>
        </w:rPr>
      </w:pPr>
      <w:bookmarkStart w:id="0" w:name="_GoBack"/>
      <w:bookmarkEnd w:id="0"/>
    </w:p>
    <w:p w14:paraId="4D103619" w14:textId="538EA3E9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lastRenderedPageBreak/>
        <w:t>პრეტენდენტის დისკვალიფიკაცია</w:t>
      </w:r>
    </w:p>
    <w:p w14:paraId="223304A0" w14:textId="77777777" w:rsidR="00120E17" w:rsidRPr="00120E17" w:rsidRDefault="00120E17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1F84503" w14:textId="77777777" w:rsidR="001913BA" w:rsidRPr="00905499" w:rsidRDefault="001913BA" w:rsidP="001913BA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C7C3518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59E08FD5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</w:t>
      </w:r>
      <w:r w:rsidR="00047E23">
        <w:rPr>
          <w:rFonts w:ascii="Sylfaen" w:hAnsi="Sylfaen" w:cs="Sylfaen"/>
          <w:sz w:val="20"/>
          <w:lang w:val="ka-GE"/>
        </w:rPr>
        <w:t>ვა</w:t>
      </w:r>
      <w:r>
        <w:rPr>
          <w:rFonts w:ascii="Sylfaen" w:hAnsi="Sylfaen" w:cs="Sylfaen"/>
          <w:sz w:val="20"/>
          <w:lang w:val="ka-GE"/>
        </w:rPr>
        <w:t>გვარი გირავნობა/იპოთეკა/შეზღუდვა;</w:t>
      </w:r>
    </w:p>
    <w:p w14:paraId="0B7DAB56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77777777" w:rsidR="001913BA" w:rsidRP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624516EF" w14:textId="50D29A9C" w:rsidR="001913BA" w:rsidRDefault="001913BA" w:rsidP="001913B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A8235A7" w14:textId="30511F7C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3331AD64" w14:textId="13D5AAE6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255540DF" w14:textId="77777777" w:rsidR="00520A96" w:rsidRPr="00520A96" w:rsidRDefault="00520A96" w:rsidP="00520A96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2A663E2" w14:textId="430C2676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5452A9C5" w14:textId="77777777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</w:p>
    <w:p w14:paraId="0247CE26" w14:textId="0B22656E" w:rsidR="00520A96" w:rsidRPr="005F0F75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120E17">
        <w:rPr>
          <w:rFonts w:ascii="Sylfaen" w:hAnsi="Sylfaen" w:cs="Sylfaen"/>
          <w:color w:val="FF0000"/>
          <w:sz w:val="20"/>
          <w:lang w:val="ka-GE"/>
        </w:rPr>
        <w:t>31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="00120E17">
        <w:rPr>
          <w:rFonts w:ascii="Sylfaen" w:hAnsi="Sylfaen" w:cs="Sylfaen"/>
          <w:b/>
          <w:color w:val="FF0000"/>
          <w:sz w:val="20"/>
          <w:lang w:val="ka-GE"/>
        </w:rPr>
        <w:t>ივლისის</w:t>
      </w:r>
      <w:r w:rsidR="003919AA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17BC4AA5" w14:textId="4199F15F" w:rsidR="00520A96" w:rsidRDefault="00520A96" w:rsidP="00520A96">
      <w:pPr>
        <w:rPr>
          <w:rFonts w:ascii="Sylfaen" w:hAnsi="Sylfaen" w:cs="Sylfaen"/>
          <w:sz w:val="20"/>
          <w:lang w:val="ka-GE"/>
        </w:rPr>
      </w:pPr>
    </w:p>
    <w:p w14:paraId="49CD9D22" w14:textId="77777777" w:rsidR="00120E17" w:rsidRPr="006F54AA" w:rsidRDefault="00120E17" w:rsidP="00520A96">
      <w:pPr>
        <w:rPr>
          <w:rFonts w:ascii="Sylfaen" w:hAnsi="Sylfaen" w:cs="Sylfaen"/>
          <w:sz w:val="20"/>
          <w:lang w:val="ka-GE"/>
        </w:rPr>
      </w:pPr>
    </w:p>
    <w:p w14:paraId="2D885052" w14:textId="40DED938" w:rsidR="00520A96" w:rsidRPr="00FD5B9D" w:rsidRDefault="00520A96" w:rsidP="00520A96">
      <w:pPr>
        <w:rPr>
          <w:rFonts w:ascii="Sylfaen" w:hAnsi="Sylfaen"/>
          <w:sz w:val="20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გთხოვთ, მოგვწეროთ ელექტრონული ფოსტის მისამართზე</w:t>
      </w:r>
      <w:r w:rsidRPr="0078269C">
        <w:rPr>
          <w:rFonts w:ascii="Sylfaen" w:hAnsi="Sylfaen" w:cs="Sylfaen"/>
          <w:sz w:val="20"/>
          <w:lang w:val="ka-GE"/>
        </w:rPr>
        <w:t>:</w:t>
      </w:r>
      <w:r w:rsidR="00120E17">
        <w:rPr>
          <w:rFonts w:ascii="Sylfaen" w:hAnsi="Sylfaen" w:cs="Sylfaen"/>
          <w:sz w:val="20"/>
          <w:lang w:val="ka-GE"/>
        </w:rPr>
        <w:t xml:space="preserve"> ტენდერთან დაკავშირებით -</w:t>
      </w:r>
      <w:r w:rsidRPr="0078269C">
        <w:rPr>
          <w:rFonts w:ascii="Sylfaen" w:hAnsi="Sylfaen" w:cs="Sylfaen"/>
          <w:sz w:val="20"/>
          <w:lang w:val="ka-GE"/>
        </w:rPr>
        <w:t xml:space="preserve"> </w:t>
      </w:r>
      <w:hyperlink r:id="rId9" w:history="1">
        <w:r w:rsidRPr="00677467">
          <w:rPr>
            <w:rStyle w:val="Hyperlink"/>
            <w:rFonts w:ascii="Sylfaen" w:hAnsi="Sylfaen" w:cs="Sylfaen"/>
            <w:sz w:val="20"/>
            <w:lang w:val="ka-GE"/>
          </w:rPr>
          <w:t>diana.kadaria@hashbank.ge</w:t>
        </w:r>
      </w:hyperlink>
      <w:r w:rsidR="00120E17">
        <w:rPr>
          <w:rStyle w:val="Hyperlink"/>
          <w:rFonts w:ascii="Sylfaen" w:hAnsi="Sylfaen" w:cs="Sylfaen"/>
          <w:sz w:val="20"/>
          <w:lang w:val="ka-GE"/>
        </w:rPr>
        <w:t xml:space="preserve">,  </w:t>
      </w:r>
      <w:r w:rsidR="00120E17" w:rsidRPr="00120E17">
        <w:rPr>
          <w:rFonts w:ascii="Sylfaen" w:hAnsi="Sylfaen" w:cs="Sylfaen"/>
          <w:sz w:val="20"/>
          <w:lang w:val="ka-GE"/>
        </w:rPr>
        <w:t>ტექნიკური საკითხებთან დაკავაშირებით</w:t>
      </w:r>
      <w:r w:rsidR="00120E17">
        <w:rPr>
          <w:rFonts w:ascii="Sylfaen" w:hAnsi="Sylfaen" w:cs="Sylfaen"/>
          <w:sz w:val="20"/>
          <w:lang w:val="ka-GE"/>
        </w:rPr>
        <w:t xml:space="preserve"> -</w:t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 </w:t>
      </w:r>
      <w:r w:rsidR="00120E17" w:rsidRPr="00120E17">
        <w:rPr>
          <w:rStyle w:val="Hyperlink"/>
          <w:rFonts w:ascii="Sylfaen" w:hAnsi="Sylfaen" w:cs="Sylfaen"/>
          <w:sz w:val="20"/>
          <w:lang w:val="ka-GE"/>
        </w:rPr>
        <w:t>irakli.dalakishvili@hashbank.ge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025C6A">
        <w:rPr>
          <w:rFonts w:ascii="Sylfaen" w:hAnsi="Sylfaen" w:cs="Sylfaen"/>
          <w:sz w:val="20"/>
          <w:lang w:val="ka-GE"/>
        </w:rPr>
        <w:t xml:space="preserve">ან </w:t>
      </w:r>
      <w:r>
        <w:rPr>
          <w:rFonts w:ascii="Sylfaen" w:hAnsi="Sylfaen" w:cs="Sylfaen"/>
          <w:sz w:val="20"/>
          <w:lang w:val="ka-GE"/>
        </w:rPr>
        <w:t xml:space="preserve">დაგვიკავშირდეთ </w:t>
      </w:r>
      <w:r w:rsidRPr="00025C6A">
        <w:rPr>
          <w:rFonts w:ascii="Sylfaen" w:hAnsi="Sylfaen" w:cs="Sylfaen"/>
          <w:sz w:val="20"/>
          <w:lang w:val="ka-GE"/>
        </w:rPr>
        <w:t xml:space="preserve">ტელეფონის ნომერზე: </w:t>
      </w:r>
      <w:r>
        <w:rPr>
          <w:rFonts w:ascii="Sylfaen" w:hAnsi="Sylfaen" w:cs="Sylfaen"/>
          <w:sz w:val="20"/>
          <w:lang w:val="ka-GE"/>
        </w:rPr>
        <w:t>+995 551 677467</w:t>
      </w:r>
      <w:r w:rsidR="00120E17">
        <w:rPr>
          <w:rFonts w:ascii="Sylfaen" w:hAnsi="Sylfaen" w:cs="Sylfaen"/>
          <w:sz w:val="20"/>
          <w:lang w:val="ka-GE"/>
        </w:rPr>
        <w:t>, +995 557 713</w:t>
      </w:r>
      <w:r w:rsidR="00CE6ABE">
        <w:rPr>
          <w:rFonts w:ascii="Sylfaen" w:hAnsi="Sylfaen" w:cs="Sylfaen"/>
          <w:sz w:val="20"/>
          <w:lang w:val="ka-GE"/>
        </w:rPr>
        <w:t> </w:t>
      </w:r>
      <w:r w:rsidR="00120E17">
        <w:rPr>
          <w:rFonts w:ascii="Sylfaen" w:hAnsi="Sylfaen" w:cs="Sylfaen"/>
          <w:sz w:val="20"/>
          <w:lang w:val="ka-GE"/>
        </w:rPr>
        <w:t>352</w:t>
      </w:r>
    </w:p>
    <w:p w14:paraId="7D66D9C4" w14:textId="404020BC" w:rsidR="001913BA" w:rsidRDefault="001913BA" w:rsidP="009C69EA">
      <w:pPr>
        <w:rPr>
          <w:rFonts w:ascii="Sylfaen" w:hAnsi="Sylfaen" w:cs="Sylfaen"/>
          <w:sz w:val="20"/>
          <w:lang w:val="ka-GE"/>
        </w:rPr>
      </w:pPr>
    </w:p>
    <w:p w14:paraId="7734B053" w14:textId="3B5D4CCD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055816A3" w14:textId="1F692D9B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2107443D" w14:textId="2ED1A317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5A127566" w14:textId="732D278E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lastRenderedPageBreak/>
        <w:t>დანართი #1</w:t>
      </w:r>
    </w:p>
    <w:p w14:paraId="112EABEA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4685EC0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1ABC8EFA" w14:textId="77777777" w:rsidR="00CE6ABE" w:rsidRPr="007770C0" w:rsidRDefault="00CE6ABE" w:rsidP="00CE6ABE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EC5DCC5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17B34424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5349D2F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52306A23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266490F7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7B1A1BC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33A9CA5D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13C5167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68BA9C7E" w14:textId="5A456DB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BB1C765" w14:textId="6E3B6E4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9021B37" w14:textId="60DAF83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B70BA08" w14:textId="3E9DA843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14CE6A2" w14:textId="3E38BBF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218F5716" w14:textId="130C997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6960F2" w14:textId="16B90C8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5421ED4F" w14:textId="3499C2D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D9DBF4" w14:textId="42FBAC88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#2</w:t>
      </w:r>
    </w:p>
    <w:p w14:paraId="71D8193F" w14:textId="77777777" w:rsidR="00CE6ABE" w:rsidRPr="00ED2C03" w:rsidRDefault="00CE6ABE" w:rsidP="00CE6ABE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C03">
        <w:rPr>
          <w:rFonts w:ascii="Arial" w:hAnsi="Arial" w:cs="Arial"/>
          <w:b/>
          <w:bCs/>
          <w:sz w:val="20"/>
          <w:szCs w:val="20"/>
        </w:rPr>
        <w:t>PRICE AND DELIVERY SCHEDULE</w:t>
      </w:r>
    </w:p>
    <w:p w14:paraId="0A4D7E86" w14:textId="77777777" w:rsidR="00CE6ABE" w:rsidRDefault="00CE6ABE" w:rsidP="00CE6ABE"/>
    <w:tbl>
      <w:tblPr>
        <w:tblW w:w="9942" w:type="dxa"/>
        <w:tblLook w:val="04A0" w:firstRow="1" w:lastRow="0" w:firstColumn="1" w:lastColumn="0" w:noHBand="0" w:noVBand="1"/>
      </w:tblPr>
      <w:tblGrid>
        <w:gridCol w:w="361"/>
        <w:gridCol w:w="1847"/>
        <w:gridCol w:w="1539"/>
        <w:gridCol w:w="1539"/>
        <w:gridCol w:w="2401"/>
        <w:gridCol w:w="1108"/>
        <w:gridCol w:w="1231"/>
      </w:tblGrid>
      <w:tr w:rsidR="00CE6ABE" w:rsidRPr="00A81244" w14:paraId="32673128" w14:textId="77777777" w:rsidTr="000F2693">
        <w:trPr>
          <w:trHeight w:val="29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BF3"/>
            <w:vAlign w:val="center"/>
            <w:hideMark/>
          </w:tcPr>
          <w:p w14:paraId="59FB9F3D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518C8B8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Service/ Product Name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2D9015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1A15B09D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Price (USD)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D25457C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Price (USD)</w:t>
            </w:r>
            <w:r w:rsidRPr="00A81244">
              <w:rPr>
                <w:rFonts w:ascii="Calibri" w:eastAsia="Times New Roman" w:hAnsi="Calibri" w:cs="Arial"/>
                <w:color w:val="000000"/>
              </w:rPr>
              <w:t xml:space="preserve"> including VAT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9E786B5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Delivery Time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32278D5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Payment Terms</w:t>
            </w:r>
          </w:p>
        </w:tc>
      </w:tr>
      <w:tr w:rsidR="00CE6ABE" w:rsidRPr="00A81244" w14:paraId="5C4A4564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957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9A9B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D6A4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4377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300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69DD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1DA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F2624A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03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EA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D96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3FFA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217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B7E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5E2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7DB2358C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0C02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623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FE3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6CF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B8D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EA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69B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47A43B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3D69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C13B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756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F57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3CAF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BB5F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156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15424F5D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B724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B1C0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EC2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EF4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4F16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15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AC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0B8FF195" w14:textId="77777777" w:rsidTr="000F2693">
        <w:trPr>
          <w:trHeight w:val="27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211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140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49B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7A2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cost: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39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2A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2C57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338ADE" w14:textId="77777777" w:rsidR="00CE6ABE" w:rsidRDefault="00CE6ABE" w:rsidP="00CE6ABE"/>
    <w:p w14:paraId="506320CB" w14:textId="77777777" w:rsidR="00CE6ABE" w:rsidRDefault="00CE6ABE" w:rsidP="00CE6ABE"/>
    <w:p w14:paraId="05EDE3CA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09D5B051" w14:textId="77777777" w:rsidR="00CE6ABE" w:rsidRPr="00C844FD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 w:rsidRPr="00C844F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C9B43" w14:textId="77777777" w:rsidR="00F144A9" w:rsidRDefault="00F144A9" w:rsidP="0065182D">
      <w:pPr>
        <w:spacing w:after="0" w:line="240" w:lineRule="auto"/>
      </w:pPr>
      <w:r>
        <w:separator/>
      </w:r>
    </w:p>
  </w:endnote>
  <w:endnote w:type="continuationSeparator" w:id="0">
    <w:p w14:paraId="7B280AC2" w14:textId="77777777" w:rsidR="00F144A9" w:rsidRDefault="00F144A9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F2E7" w14:textId="77777777" w:rsidR="00F144A9" w:rsidRDefault="00F144A9" w:rsidP="0065182D">
      <w:pPr>
        <w:spacing w:after="0" w:line="240" w:lineRule="auto"/>
      </w:pPr>
      <w:r>
        <w:separator/>
      </w:r>
    </w:p>
  </w:footnote>
  <w:footnote w:type="continuationSeparator" w:id="0">
    <w:p w14:paraId="1B53C6F8" w14:textId="77777777" w:rsidR="00F144A9" w:rsidRDefault="00F144A9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F254" w14:textId="076365BF" w:rsidR="0065182D" w:rsidRPr="00D203D0" w:rsidRDefault="0065182D">
    <w:pPr>
      <w:pStyle w:val="Header"/>
      <w:rPr>
        <w:b/>
        <w:bCs/>
        <w:lang w:val="ka-GE"/>
      </w:rPr>
    </w:pPr>
    <w:r w:rsidRPr="0065182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A0D9159" wp14:editId="5D3CEB97">
          <wp:simplePos x="0" y="0"/>
          <wp:positionH relativeFrom="column">
            <wp:posOffset>-775508</wp:posOffset>
          </wp:positionH>
          <wp:positionV relativeFrom="paragraph">
            <wp:posOffset>-136583</wp:posOffset>
          </wp:positionV>
          <wp:extent cx="541020" cy="541020"/>
          <wp:effectExtent l="0" t="0" r="0" b="0"/>
          <wp:wrapNone/>
          <wp:docPr id="1" name="Picture 1" descr="Email sender 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82D">
      <w:rPr>
        <w:rFonts w:ascii="Sylfaen" w:hAnsi="Sylfaen"/>
        <w:b/>
        <w:bCs/>
        <w:sz w:val="20"/>
        <w:szCs w:val="20"/>
        <w:lang w:val="ka-GE"/>
      </w:rPr>
      <w:t xml:space="preserve">ტენდერი - </w:t>
    </w:r>
    <w:r w:rsidR="00D203D0" w:rsidRPr="00D203D0">
      <w:rPr>
        <w:rFonts w:ascii="Sylfaen" w:hAnsi="Sylfaen"/>
        <w:b/>
        <w:bCs/>
        <w:sz w:val="20"/>
        <w:szCs w:val="20"/>
        <w:lang w:val="ka-GE"/>
      </w:rPr>
      <w:t>პრივილეგირებული წვდომის მართვის</w:t>
    </w:r>
    <w:r w:rsidR="00D203D0">
      <w:rPr>
        <w:rFonts w:ascii="Sylfaen" w:hAnsi="Sylfaen"/>
        <w:b/>
        <w:bCs/>
        <w:sz w:val="20"/>
        <w:szCs w:val="20"/>
        <w:lang w:val="ka-GE"/>
      </w:rPr>
      <w:t>(</w:t>
    </w:r>
    <w:r w:rsidR="00D203D0">
      <w:rPr>
        <w:rFonts w:ascii="Sylfaen" w:hAnsi="Sylfaen"/>
        <w:b/>
        <w:bCs/>
        <w:sz w:val="20"/>
        <w:szCs w:val="20"/>
      </w:rPr>
      <w:t xml:space="preserve">PAM) </w:t>
    </w:r>
    <w:r w:rsidR="00D203D0" w:rsidRPr="00D203D0">
      <w:rPr>
        <w:rFonts w:ascii="Sylfaen" w:hAnsi="Sylfaen"/>
        <w:b/>
        <w:bCs/>
        <w:sz w:val="20"/>
        <w:szCs w:val="20"/>
        <w:lang w:val="ka-GE"/>
      </w:rPr>
      <w:t>პროგრამული უზრუნველყოფის 1 წლიანი ლიცენზიის განახლებ</w:t>
    </w:r>
    <w:r w:rsidR="00D203D0">
      <w:rPr>
        <w:rFonts w:ascii="Sylfaen" w:hAnsi="Sylfaen"/>
        <w:b/>
        <w:bCs/>
        <w:sz w:val="20"/>
        <w:szCs w:val="20"/>
        <w:lang w:val="ka-GE"/>
      </w:rPr>
      <w:t>ა</w:t>
    </w:r>
  </w:p>
  <w:p w14:paraId="51F30B7C" w14:textId="77777777" w:rsidR="0065182D" w:rsidRPr="00FD0551" w:rsidRDefault="0065182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0E7"/>
    <w:multiLevelType w:val="hybridMultilevel"/>
    <w:tmpl w:val="60E6D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37422"/>
    <w:rsid w:val="00047E23"/>
    <w:rsid w:val="000C1D56"/>
    <w:rsid w:val="00120E17"/>
    <w:rsid w:val="0016799F"/>
    <w:rsid w:val="001913BA"/>
    <w:rsid w:val="001B0B41"/>
    <w:rsid w:val="001C05BC"/>
    <w:rsid w:val="00285045"/>
    <w:rsid w:val="00295028"/>
    <w:rsid w:val="002E02C3"/>
    <w:rsid w:val="003802F5"/>
    <w:rsid w:val="003919AA"/>
    <w:rsid w:val="00401134"/>
    <w:rsid w:val="00520A96"/>
    <w:rsid w:val="00526FDD"/>
    <w:rsid w:val="005F0F75"/>
    <w:rsid w:val="0065182D"/>
    <w:rsid w:val="006B05A4"/>
    <w:rsid w:val="00860EF7"/>
    <w:rsid w:val="008638CB"/>
    <w:rsid w:val="009A0E41"/>
    <w:rsid w:val="009C181A"/>
    <w:rsid w:val="009C69EA"/>
    <w:rsid w:val="00A77D14"/>
    <w:rsid w:val="00B56ED3"/>
    <w:rsid w:val="00C844FD"/>
    <w:rsid w:val="00C87827"/>
    <w:rsid w:val="00CE6ABE"/>
    <w:rsid w:val="00D203D0"/>
    <w:rsid w:val="00D209A1"/>
    <w:rsid w:val="00D343A5"/>
    <w:rsid w:val="00D972F0"/>
    <w:rsid w:val="00F144A9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kadaria@hashbank.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.imgur.com/wgnwjt2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FDC9-01EB-4AA7-8516-F8A941BA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10</cp:revision>
  <dcterms:created xsi:type="dcterms:W3CDTF">2024-09-24T10:34:00Z</dcterms:created>
  <dcterms:modified xsi:type="dcterms:W3CDTF">2025-07-17T11:04:00Z</dcterms:modified>
</cp:coreProperties>
</file>