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C6BF" w14:textId="5A21BD5C" w:rsidR="00AB30C3" w:rsidRPr="00640B77" w:rsidRDefault="00AB30C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სატენდერო ინფორმაცია:</w:t>
      </w:r>
    </w:p>
    <w:p w14:paraId="26114DC0" w14:textId="3457B3D5" w:rsidR="001F0809" w:rsidRPr="001F0809" w:rsidRDefault="001F0809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1F0809">
        <w:rPr>
          <w:rFonts w:ascii="Sylfaen" w:eastAsia="Times New Roman" w:hAnsi="Sylfaen" w:cs="Sylfaen"/>
          <w:sz w:val="24"/>
          <w:szCs w:val="24"/>
          <w:lang w:val="ka-GE"/>
        </w:rPr>
        <w:t>შპს „მანგლისი ფრაიმ ფროჯექთ“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1F0809">
        <w:rPr>
          <w:rFonts w:ascii="Sylfaen" w:eastAsia="Times New Roman" w:hAnsi="Sylfaen" w:cs="Sylfaen"/>
          <w:sz w:val="24"/>
          <w:szCs w:val="24"/>
          <w:lang w:val="ka-GE"/>
        </w:rPr>
        <w:t>აცხადებს ტენდერს #02-05/09/25-PP დაბა მანგლისში არსებული შენობის საპროექტო-საინჟინრო  სამუშაოების შესყიდვაზე.</w:t>
      </w:r>
    </w:p>
    <w:p w14:paraId="17EE44A5" w14:textId="6124F253" w:rsidR="00706D03" w:rsidRDefault="00706D0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ობიექტის</w:t>
      </w:r>
      <w:r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 </w:t>
      </w: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რაოდენობა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- 1; </w:t>
      </w:r>
    </w:p>
    <w:p w14:paraId="6171393C" w14:textId="6F2DCB27" w:rsidR="001F0809" w:rsidRPr="00640B77" w:rsidRDefault="001F0809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1F0809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ობიექტის მდებარეობა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- თეთრიწყაროს მუნიციპალიტეტი, დაბა მანგლისი, რუსთაველის ქუჩა </w:t>
      </w:r>
      <w:r w:rsidRPr="001F0809">
        <w:rPr>
          <w:rFonts w:ascii="Sylfaen" w:eastAsia="Times New Roman" w:hAnsi="Sylfaen" w:cs="Sylfaen"/>
          <w:sz w:val="24"/>
          <w:szCs w:val="24"/>
          <w:lang w:val="ka-GE"/>
        </w:rPr>
        <w:t>(ს/კ: 84.18.35.062.035</w:t>
      </w:r>
      <w:r>
        <w:rPr>
          <w:rFonts w:ascii="Sylfaen" w:eastAsia="Times New Roman" w:hAnsi="Sylfaen" w:cs="Sylfaen"/>
          <w:sz w:val="24"/>
          <w:szCs w:val="24"/>
          <w:lang w:val="ka-GE"/>
        </w:rPr>
        <w:t>)</w:t>
      </w:r>
      <w:bookmarkStart w:id="0" w:name="_GoBack"/>
      <w:bookmarkEnd w:id="0"/>
    </w:p>
    <w:p w14:paraId="7855478F" w14:textId="1DC683A3" w:rsidR="00706D03" w:rsidRPr="00640B77" w:rsidRDefault="00706D0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სავარაუდო ფართობი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="001F0809" w:rsidRPr="001F0809">
        <w:rPr>
          <w:rFonts w:ascii="Sylfaen" w:eastAsia="Times New Roman" w:hAnsi="Sylfaen" w:cs="Sylfaen"/>
          <w:sz w:val="24"/>
          <w:szCs w:val="24"/>
          <w:lang w:val="ka-GE"/>
        </w:rPr>
        <w:t>4 080 მ2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1848C388" w14:textId="3DCC986D" w:rsidR="002E7722" w:rsidRPr="00275357" w:rsidRDefault="00AB30C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შესასყიდი მომსახურების ჩამონათვალი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- </w:t>
      </w:r>
      <w:r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 xml:space="preserve">იხ. </w:t>
      </w:r>
      <w:bookmarkStart w:id="1" w:name="_Hlk204942569"/>
      <w:r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 xml:space="preserve">დანართი </w:t>
      </w:r>
      <w:r w:rsidR="00004716"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1</w:t>
      </w:r>
      <w:r w:rsidR="00D37EF4" w:rsidRPr="00275357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 xml:space="preserve"> - საპროექტო სამუშაოები</w:t>
      </w:r>
      <w:bookmarkEnd w:id="1"/>
    </w:p>
    <w:p w14:paraId="31A9041E" w14:textId="2684D826" w:rsidR="0055081D" w:rsidRPr="00640B77" w:rsidRDefault="0055081D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მომსახურების შესრულების ვადა</w:t>
      </w:r>
      <w:r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: </w:t>
      </w:r>
      <w:r w:rsidR="00706D03"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ხელშეკრულების გაფორმებიდან </w:t>
      </w:r>
      <w:r w:rsidR="001F0809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1</w:t>
      </w:r>
      <w:r w:rsidR="00706D03" w:rsidRPr="00FE1C7F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კალენდარული თვე.</w:t>
      </w:r>
      <w:r w:rsidR="00706D03" w:rsidRPr="00640B77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14:paraId="3C83D071" w14:textId="77777777" w:rsidR="002E7722" w:rsidRPr="00640B77" w:rsidRDefault="002E7722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Sylfaen"/>
          <w:b/>
          <w:bCs/>
          <w:sz w:val="24"/>
          <w:szCs w:val="24"/>
          <w:lang w:val="ka-GE"/>
        </w:rPr>
      </w:pPr>
      <w:r w:rsidRPr="00640B77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ტენდერში მონაწილეობის პირობები</w:t>
      </w:r>
    </w:p>
    <w:p w14:paraId="2923C569" w14:textId="1621D8AD" w:rsidR="00AB30C3" w:rsidRPr="00640B77" w:rsidRDefault="00AB30C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ტენდერში მონაწილეობის მისაღებად კომპანიამ</w:t>
      </w:r>
      <w:r w:rsidR="002116C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უნდა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წარმოადგინოს შემდეგი </w:t>
      </w:r>
      <w:r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სავალდებულო დოკუმენტაცია:</w:t>
      </w:r>
    </w:p>
    <w:p w14:paraId="5C590EC8" w14:textId="51AC0775" w:rsidR="00AB30C3" w:rsidRPr="00640B77" w:rsidRDefault="00BC062B" w:rsidP="00CC0A2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შევსებული </w:t>
      </w:r>
      <w:r w:rsidR="00AB30C3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კომერციული წინადადება 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- </w:t>
      </w:r>
      <w:r w:rsidR="00AB30C3" w:rsidRPr="00FE1C7F">
        <w:rPr>
          <w:rFonts w:ascii="Sylfaen" w:eastAsia="Times New Roman" w:hAnsi="Sylfaen" w:cs="Arial"/>
          <w:i/>
          <w:iCs/>
          <w:sz w:val="24"/>
          <w:szCs w:val="24"/>
          <w:lang w:val="ka-GE"/>
        </w:rPr>
        <w:t>დანართი 1</w:t>
      </w:r>
      <w:r w:rsidRPr="00FE1C7F">
        <w:rPr>
          <w:rFonts w:ascii="Sylfaen" w:eastAsia="Times New Roman" w:hAnsi="Sylfaen" w:cs="Arial"/>
          <w:i/>
          <w:iCs/>
          <w:sz w:val="24"/>
          <w:szCs w:val="24"/>
          <w:lang w:val="ka-GE"/>
        </w:rPr>
        <w:t xml:space="preserve"> - </w:t>
      </w:r>
      <w:r w:rsidRPr="00FE1C7F">
        <w:rPr>
          <w:rFonts w:ascii="Sylfaen" w:eastAsia="Times New Roman" w:hAnsi="Sylfaen" w:cs="Sylfaen"/>
          <w:i/>
          <w:iCs/>
          <w:sz w:val="24"/>
          <w:szCs w:val="24"/>
          <w:lang w:val="ka-GE"/>
        </w:rPr>
        <w:t>საპროექტო სამუშაოები</w:t>
      </w:r>
    </w:p>
    <w:p w14:paraId="7C79C5D5" w14:textId="6D006423" w:rsidR="00004716" w:rsidRDefault="00EB6FEC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- 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კომერციული წინადადება უნდა წარმოადგინოთ დანართი 1-ის ფორმატით, უფლებამოსილი პირის ხელმოწერით.  </w:t>
      </w:r>
    </w:p>
    <w:p w14:paraId="430E8B0D" w14:textId="352C54A7" w:rsidR="00275357" w:rsidRPr="00640B77" w:rsidRDefault="00275357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</w:rPr>
        <w:t xml:space="preserve">- </w:t>
      </w:r>
      <w:r>
        <w:rPr>
          <w:rFonts w:ascii="Sylfaen" w:eastAsia="Times New Roman" w:hAnsi="Sylfaen" w:cs="Arial"/>
          <w:sz w:val="24"/>
          <w:szCs w:val="24"/>
          <w:lang w:val="ka-GE"/>
        </w:rPr>
        <w:t>წარმოდგენილი კომერციული წინადადება უნდა მოიცავდეს</w:t>
      </w:r>
      <w:r w:rsidRPr="00275357">
        <w:rPr>
          <w:rFonts w:ascii="Sylfaen" w:eastAsia="Times New Roman" w:hAnsi="Sylfaen" w:cs="Arial"/>
          <w:sz w:val="24"/>
          <w:szCs w:val="24"/>
          <w:lang w:val="ka-GE"/>
        </w:rPr>
        <w:t xml:space="preserve"> მომსახურების სრულ ჩამონათვალ</w:t>
      </w:r>
      <w:r>
        <w:rPr>
          <w:rFonts w:ascii="Sylfaen" w:eastAsia="Times New Roman" w:hAnsi="Sylfaen" w:cs="Arial"/>
          <w:sz w:val="24"/>
          <w:szCs w:val="24"/>
          <w:lang w:val="ka-GE"/>
        </w:rPr>
        <w:t xml:space="preserve">ს დანართი 1-ის შესაბამისად. </w:t>
      </w:r>
    </w:p>
    <w:p w14:paraId="66A76E58" w14:textId="052B6F81" w:rsidR="00004716" w:rsidRPr="00640B77" w:rsidRDefault="00EB6FEC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- წინადადება უნდა წარმოადგინოთ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>ლარ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>შ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ი; ღირებულება უნდა მოიცავდეს 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მოქმედი 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კანონმდებლობით გათვალისწინებულ </w:t>
      </w:r>
      <w:r w:rsidR="00004716"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ყველა</w:t>
      </w:r>
      <w:r w:rsidR="00004716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გადასახადს</w:t>
      </w:r>
      <w:r w:rsidR="00FC2638"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6E615B09" w14:textId="12F38CF2" w:rsidR="008136A4" w:rsidRDefault="008136A4" w:rsidP="00CC0A21">
      <w:pPr>
        <w:pStyle w:val="ListParagraph"/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</w:rPr>
        <w:t xml:space="preserve">- </w:t>
      </w:r>
      <w:r w:rsidRPr="00640B77">
        <w:rPr>
          <w:rFonts w:ascii="Sylfaen" w:eastAsia="Times New Roman" w:hAnsi="Sylfaen" w:cs="Arial"/>
          <w:sz w:val="24"/>
          <w:szCs w:val="24"/>
          <w:lang w:val="ka-GE"/>
        </w:rPr>
        <w:t>წინადადება უნდა მოიცავდეს ანგარიშსწორების პირობას</w:t>
      </w:r>
      <w:r w:rsidR="00185166" w:rsidRPr="00640B77">
        <w:rPr>
          <w:rFonts w:ascii="Sylfaen" w:eastAsia="Times New Roman" w:hAnsi="Sylfaen" w:cs="Arial"/>
          <w:sz w:val="24"/>
          <w:szCs w:val="24"/>
          <w:lang w:val="ka-GE"/>
        </w:rPr>
        <w:t>.</w:t>
      </w:r>
    </w:p>
    <w:p w14:paraId="4CFFF24F" w14:textId="77777777" w:rsidR="002E7722" w:rsidRPr="00640B77" w:rsidRDefault="002E7722" w:rsidP="00CC0A2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კომპანიის საქმიანობის აღწერილობა, მათ შორის:</w:t>
      </w:r>
    </w:p>
    <w:p w14:paraId="2546C04D" w14:textId="3181F1C5" w:rsidR="005065DC" w:rsidRPr="005065DC" w:rsidRDefault="00EB6FEC" w:rsidP="00CC0A21">
      <w:pPr>
        <w:pStyle w:val="ListParagraph"/>
        <w:numPr>
          <w:ilvl w:val="0"/>
          <w:numId w:val="4"/>
        </w:numPr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ინფორმაცია </w:t>
      </w:r>
      <w:r w:rsidR="002E7722"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ბოლო </w:t>
      </w:r>
      <w:r w:rsidRPr="00CC0A21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სამი წლის განმავლობაში </w:t>
      </w:r>
      <w:r w:rsidR="001F0809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სასტუმრო, საზოგადოებრვი ან საოფისე </w:t>
      </w: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მიმართულებით ანალოგიური მომსახურების განხორციელების გამოცდილების შესახებ, ფართობის </w:t>
      </w:r>
      <w:r w:rsidRPr="005065DC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მინიმალური მოცულობა </w:t>
      </w:r>
      <w:r w:rsidR="001F0809">
        <w:rPr>
          <w:rFonts w:ascii="Sylfaen" w:eastAsia="Times New Roman" w:hAnsi="Sylfaen" w:cs="Arial"/>
          <w:b/>
          <w:bCs/>
          <w:sz w:val="24"/>
          <w:szCs w:val="24"/>
          <w:lang w:val="ka-GE"/>
        </w:rPr>
        <w:t>8000</w:t>
      </w:r>
      <w:r w:rsidRPr="005065DC">
        <w:rPr>
          <w:rFonts w:ascii="Sylfaen" w:eastAsia="Times New Roman" w:hAnsi="Sylfaen" w:cs="Arial"/>
          <w:b/>
          <w:bCs/>
          <w:sz w:val="24"/>
          <w:szCs w:val="24"/>
          <w:lang w:val="ka-GE"/>
        </w:rPr>
        <w:t xml:space="preserve"> მ2</w:t>
      </w:r>
      <w:r w:rsidRPr="005065DC">
        <w:rPr>
          <w:rFonts w:ascii="Sylfaen" w:eastAsia="Times New Roman" w:hAnsi="Sylfaen" w:cs="Arial"/>
          <w:sz w:val="24"/>
          <w:szCs w:val="24"/>
          <w:lang w:val="ka-GE"/>
        </w:rPr>
        <w:t xml:space="preserve"> და </w:t>
      </w:r>
      <w:r w:rsidR="005065DC" w:rsidRPr="005065DC">
        <w:rPr>
          <w:rFonts w:ascii="Sylfaen" w:eastAsia="Times New Roman" w:hAnsi="Sylfaen" w:cs="Arial"/>
          <w:sz w:val="24"/>
          <w:szCs w:val="24"/>
          <w:lang w:val="ka-GE"/>
        </w:rPr>
        <w:t>აღნიშნული მომსახურების განხორციელების დამადასტურებელი დოკუმენტაციის წარმოდგენა.</w:t>
      </w:r>
    </w:p>
    <w:p w14:paraId="12CAAD08" w14:textId="3EBAACBE" w:rsidR="00AB30C3" w:rsidRPr="00640B77" w:rsidRDefault="00AB30C3" w:rsidP="00CC0A2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რეკომენდატორების სია, მათთან მუშაობის გამოცდილების წლებისა და საკონტაქტო ინფორმაციის მითითებით</w:t>
      </w:r>
      <w:r w:rsidR="00FC2638" w:rsidRPr="00640B77">
        <w:rPr>
          <w:rFonts w:ascii="Sylfaen" w:eastAsia="Times New Roman" w:hAnsi="Sylfaen" w:cs="Arial"/>
          <w:sz w:val="24"/>
          <w:szCs w:val="24"/>
          <w:lang w:val="ka-GE"/>
        </w:rPr>
        <w:t>;</w:t>
      </w:r>
    </w:p>
    <w:p w14:paraId="595EC8D8" w14:textId="2A46ACD6" w:rsidR="002E7722" w:rsidRPr="00640B77" w:rsidRDefault="00AB30C3" w:rsidP="00CC0A21">
      <w:pPr>
        <w:pStyle w:val="ListParagraph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კომპანიის</w:t>
      </w:r>
      <w:r w:rsidR="002E7722" w:rsidRPr="00640B77">
        <w:rPr>
          <w:rFonts w:ascii="Sylfaen" w:eastAsia="Times New Roman" w:hAnsi="Sylfaen" w:cs="Arial"/>
          <w:sz w:val="24"/>
          <w:szCs w:val="24"/>
          <w:lang w:val="ka-GE"/>
        </w:rPr>
        <w:t xml:space="preserve"> შესახებ ინფორმაცია</w:t>
      </w:r>
    </w:p>
    <w:p w14:paraId="094D548C" w14:textId="318BB823" w:rsidR="002E7722" w:rsidRPr="00640B77" w:rsidRDefault="002E7722" w:rsidP="00CC0A21">
      <w:pPr>
        <w:pStyle w:val="ListParagraph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კომპანიის სრული დასახელება;</w:t>
      </w:r>
    </w:p>
    <w:p w14:paraId="76B1375A" w14:textId="41C359BF" w:rsidR="002E7722" w:rsidRPr="00640B77" w:rsidRDefault="002E7722" w:rsidP="00CC0A21">
      <w:pPr>
        <w:pStyle w:val="ListParagraph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საბანკო რეკვიზიტები (ბანკის ბეჭდიანი ცნობის სახით);</w:t>
      </w:r>
    </w:p>
    <w:p w14:paraId="07A57641" w14:textId="2EDF8934" w:rsidR="002E7722" w:rsidRPr="00640B77" w:rsidRDefault="002E7722" w:rsidP="00CC0A21">
      <w:pPr>
        <w:pStyle w:val="ListParagraph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საკონტაქტო პირი და საკონტაქტო ინფორმაცია.</w:t>
      </w:r>
    </w:p>
    <w:p w14:paraId="1580F611" w14:textId="0846B4CC" w:rsidR="00AB30C3" w:rsidRPr="00640B77" w:rsidRDefault="00CE51A7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b/>
          <w:bCs/>
          <w:i/>
          <w:iCs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b/>
          <w:bCs/>
          <w:i/>
          <w:iCs/>
          <w:sz w:val="24"/>
          <w:szCs w:val="24"/>
          <w:lang w:val="ka-GE"/>
        </w:rPr>
        <w:lastRenderedPageBreak/>
        <w:t xml:space="preserve">შენიშვნა: </w:t>
      </w:r>
      <w:r w:rsidR="00AB30C3" w:rsidRPr="00640B77">
        <w:rPr>
          <w:rFonts w:ascii="Sylfaen" w:eastAsia="Times New Roman" w:hAnsi="Sylfaen" w:cs="Arial"/>
          <w:b/>
          <w:bCs/>
          <w:i/>
          <w:iCs/>
          <w:sz w:val="24"/>
          <w:szCs w:val="24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4F338BAE" w14:textId="1B26CAD5" w:rsidR="002E7722" w:rsidRPr="00640B77" w:rsidRDefault="002E7722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b/>
          <w:bCs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b/>
          <w:bCs/>
          <w:sz w:val="24"/>
          <w:szCs w:val="24"/>
          <w:lang w:val="ka-GE"/>
        </w:rPr>
        <w:t>დამატებითი დეტალები:</w:t>
      </w:r>
    </w:p>
    <w:p w14:paraId="59AC6646" w14:textId="57D37916" w:rsidR="002E7722" w:rsidRPr="00640B77" w:rsidRDefault="002E7722" w:rsidP="00CC0A2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45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დამკვეთი იტოვებს უფლებას, გამარჯვებული პრეტენდენტის გამოვლენამდე გამართოს დამატებითი შეხვედრები ტენდერში მონაწილე კომპანიებთან, შესყიდვის დეტალების დაზუსტების მიზნით.</w:t>
      </w:r>
    </w:p>
    <w:p w14:paraId="45DC7BAC" w14:textId="148256B6" w:rsidR="002E7722" w:rsidRPr="00640B77" w:rsidRDefault="002E7722" w:rsidP="00CC0A2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45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ტენდერის გამოცხადება არ აჩენს ვალდებულებას რომელიმე პრეტენდენტთან ხელშეკრულების გაფორმებასთან დაკავშირებით</w:t>
      </w:r>
    </w:p>
    <w:p w14:paraId="4893DA1D" w14:textId="075E80C6" w:rsidR="002E7722" w:rsidRDefault="002E7722" w:rsidP="00CC0A21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450"/>
        <w:jc w:val="both"/>
        <w:rPr>
          <w:rFonts w:ascii="Sylfaen" w:eastAsia="Times New Roman" w:hAnsi="Sylfaen" w:cs="Arial"/>
          <w:sz w:val="24"/>
          <w:szCs w:val="24"/>
          <w:lang w:val="ka-GE"/>
        </w:rPr>
      </w:pPr>
      <w:r w:rsidRPr="00640B77">
        <w:rPr>
          <w:rFonts w:ascii="Sylfaen" w:eastAsia="Times New Roman" w:hAnsi="Sylfaen" w:cs="Arial"/>
          <w:sz w:val="24"/>
          <w:szCs w:val="24"/>
          <w:lang w:val="ka-GE"/>
        </w:rPr>
        <w:t>დამკვეთი უფლებამოსილია ტენდერის პროცესი ნებისმიერ დროს შეწყვიტოს, გადაავადოს ან გააუქმოს თავისი შეხედულებისამებრ.</w:t>
      </w:r>
    </w:p>
    <w:p w14:paraId="4F7EE16E" w14:textId="70F39D92" w:rsidR="00C07743" w:rsidRDefault="00C0774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p w14:paraId="4CF0D5DC" w14:textId="4E494172" w:rsidR="00C07743" w:rsidRDefault="00C0774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p w14:paraId="6B609B29" w14:textId="742D718C" w:rsidR="00C07743" w:rsidRDefault="00C07743" w:rsidP="00CC0A21">
      <w:p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Arial"/>
          <w:sz w:val="24"/>
          <w:szCs w:val="24"/>
          <w:lang w:val="ka-GE"/>
        </w:rPr>
      </w:pPr>
    </w:p>
    <w:sectPr w:rsidR="00C07743" w:rsidSect="00C00D05">
      <w:pgSz w:w="12240" w:h="15840"/>
      <w:pgMar w:top="1440" w:right="108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vember GeL Light">
    <w:panose1 w:val="00000000000000000000"/>
    <w:charset w:val="00"/>
    <w:family w:val="modern"/>
    <w:notTrueType/>
    <w:pitch w:val="variable"/>
    <w:sig w:usb0="A50000FF" w:usb1="5200E4FB" w:usb2="00000001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E4B09"/>
    <w:multiLevelType w:val="hybridMultilevel"/>
    <w:tmpl w:val="94B0D13E"/>
    <w:lvl w:ilvl="0" w:tplc="1FD2436A">
      <w:start w:val="3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C7FBD"/>
    <w:multiLevelType w:val="hybridMultilevel"/>
    <w:tmpl w:val="D4A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3F37"/>
    <w:multiLevelType w:val="hybridMultilevel"/>
    <w:tmpl w:val="B4361EA4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A6613"/>
    <w:multiLevelType w:val="hybridMultilevel"/>
    <w:tmpl w:val="5EB00B6A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E4C8DEE">
      <w:start w:val="51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1764A"/>
    <w:multiLevelType w:val="hybridMultilevel"/>
    <w:tmpl w:val="68A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3168">
      <w:numFmt w:val="bullet"/>
      <w:lvlText w:val="•"/>
      <w:lvlJc w:val="left"/>
      <w:pPr>
        <w:ind w:left="144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BC9"/>
    <w:multiLevelType w:val="hybridMultilevel"/>
    <w:tmpl w:val="5DEA5DE0"/>
    <w:lvl w:ilvl="0" w:tplc="1E4C8DEE">
      <w:start w:val="51"/>
      <w:numFmt w:val="bullet"/>
      <w:lvlText w:val="-"/>
      <w:lvlJc w:val="left"/>
      <w:pPr>
        <w:ind w:left="720" w:hanging="360"/>
      </w:pPr>
      <w:rPr>
        <w:rFonts w:ascii="November GeL Light" w:eastAsia="Times New Roman" w:hAnsi="November GeL Ligh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4835"/>
    <w:multiLevelType w:val="multilevel"/>
    <w:tmpl w:val="B6D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A64BD"/>
    <w:multiLevelType w:val="hybridMultilevel"/>
    <w:tmpl w:val="436A9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4B9"/>
    <w:multiLevelType w:val="hybridMultilevel"/>
    <w:tmpl w:val="D40C5DEE"/>
    <w:lvl w:ilvl="0" w:tplc="1E4C8DEE">
      <w:start w:val="51"/>
      <w:numFmt w:val="bullet"/>
      <w:lvlText w:val="-"/>
      <w:lvlJc w:val="left"/>
      <w:pPr>
        <w:ind w:left="1080" w:hanging="360"/>
      </w:pPr>
      <w:rPr>
        <w:rFonts w:ascii="November GeL Light" w:eastAsia="Times New Roman" w:hAnsi="November GeL Light" w:cs="Sylfaen" w:hint="default"/>
      </w:rPr>
    </w:lvl>
    <w:lvl w:ilvl="1" w:tplc="1FD2436A">
      <w:start w:val="3"/>
      <w:numFmt w:val="bullet"/>
      <w:lvlText w:val="-"/>
      <w:lvlJc w:val="left"/>
      <w:pPr>
        <w:ind w:left="1800" w:hanging="360"/>
      </w:pPr>
      <w:rPr>
        <w:rFonts w:ascii="November GeL Light" w:eastAsia="Times New Roman" w:hAnsi="November GeL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BA"/>
    <w:rsid w:val="00004716"/>
    <w:rsid w:val="00115251"/>
    <w:rsid w:val="00185166"/>
    <w:rsid w:val="001F0809"/>
    <w:rsid w:val="002116C2"/>
    <w:rsid w:val="00275357"/>
    <w:rsid w:val="00287B87"/>
    <w:rsid w:val="002E7722"/>
    <w:rsid w:val="00387167"/>
    <w:rsid w:val="005065DC"/>
    <w:rsid w:val="0055081D"/>
    <w:rsid w:val="00553470"/>
    <w:rsid w:val="00625F72"/>
    <w:rsid w:val="00640B77"/>
    <w:rsid w:val="006529BA"/>
    <w:rsid w:val="00706D03"/>
    <w:rsid w:val="008136A4"/>
    <w:rsid w:val="008136F7"/>
    <w:rsid w:val="009B4232"/>
    <w:rsid w:val="00AB30C3"/>
    <w:rsid w:val="00B55310"/>
    <w:rsid w:val="00BC062B"/>
    <w:rsid w:val="00BE49D6"/>
    <w:rsid w:val="00C00D05"/>
    <w:rsid w:val="00C07743"/>
    <w:rsid w:val="00C22D6A"/>
    <w:rsid w:val="00CC0A21"/>
    <w:rsid w:val="00CE51A7"/>
    <w:rsid w:val="00D37EF4"/>
    <w:rsid w:val="00D452C8"/>
    <w:rsid w:val="00DD4CB5"/>
    <w:rsid w:val="00E92BB0"/>
    <w:rsid w:val="00EB6FEC"/>
    <w:rsid w:val="00FC2638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C6E5"/>
  <w15:chartTrackingRefBased/>
  <w15:docId w15:val="{8299E337-4CDA-4D74-9054-6DC45C3A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Gelashvili</dc:creator>
  <cp:keywords/>
  <dc:description/>
  <cp:lastModifiedBy>Avtandil Manjavidze</cp:lastModifiedBy>
  <cp:revision>24</cp:revision>
  <dcterms:created xsi:type="dcterms:W3CDTF">2025-07-17T09:52:00Z</dcterms:created>
  <dcterms:modified xsi:type="dcterms:W3CDTF">2025-09-05T12:54:00Z</dcterms:modified>
</cp:coreProperties>
</file>