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F4610" w14:textId="77777777" w:rsidR="00426BAA" w:rsidRPr="0049676A" w:rsidRDefault="00426BAA" w:rsidP="00426BAA">
      <w:pPr>
        <w:spacing w:before="100" w:beforeAutospacing="1" w:after="100" w:afterAutospacing="1" w:line="360" w:lineRule="auto"/>
        <w:rPr>
          <w:rFonts w:ascii="Calibri" w:eastAsia="Times New Roman" w:hAnsi="Calibri" w:cs="Calibri"/>
          <w:b/>
          <w:bCs/>
          <w:sz w:val="20"/>
          <w:szCs w:val="20"/>
          <w:lang w:val="ka-GE"/>
        </w:rPr>
      </w:pPr>
    </w:p>
    <w:p w14:paraId="04BF8738" w14:textId="1C74F19A" w:rsidR="00426BAA" w:rsidRPr="0049676A" w:rsidRDefault="00426BAA" w:rsidP="00426BAA">
      <w:pPr>
        <w:spacing w:before="100" w:beforeAutospacing="1" w:after="100" w:afterAutospacing="1" w:line="360" w:lineRule="auto"/>
        <w:rPr>
          <w:rFonts w:ascii="Calibri" w:eastAsia="Times New Roman" w:hAnsi="Calibri" w:cs="Calibri"/>
          <w:b/>
          <w:bCs/>
          <w:sz w:val="48"/>
          <w:szCs w:val="48"/>
        </w:rPr>
      </w:pPr>
      <w:r w:rsidRPr="0049676A">
        <w:rPr>
          <w:rFonts w:ascii="Calibri" w:eastAsia="Times New Roman" w:hAnsi="Calibri" w:cs="Calibri"/>
          <w:b/>
          <w:bCs/>
          <w:sz w:val="48"/>
          <w:szCs w:val="48"/>
        </w:rPr>
        <w:t xml:space="preserve">Request for Proposal (RFP) for </w:t>
      </w:r>
      <w:r w:rsidR="00156808" w:rsidRPr="0049676A">
        <w:rPr>
          <w:rFonts w:ascii="Calibri" w:eastAsia="Times New Roman" w:hAnsi="Calibri" w:cs="Calibri"/>
          <w:b/>
          <w:bCs/>
          <w:sz w:val="48"/>
          <w:szCs w:val="48"/>
        </w:rPr>
        <w:t>Blockchain Analytics Platform</w:t>
      </w:r>
    </w:p>
    <w:p w14:paraId="3488DC78" w14:textId="77777777" w:rsidR="006A08E1" w:rsidRPr="0049676A" w:rsidRDefault="00426BAA" w:rsidP="00426BAA">
      <w:p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Issued By:</w:t>
      </w:r>
      <w:bookmarkStart w:id="0" w:name="_GoBack"/>
      <w:bookmarkEnd w:id="0"/>
    </w:p>
    <w:p w14:paraId="42B313AF" w14:textId="53ED29EB" w:rsidR="00426BAA" w:rsidRPr="0049676A" w:rsidRDefault="00426BAA" w:rsidP="00426BAA">
      <w:pPr>
        <w:spacing w:before="100" w:beforeAutospacing="1" w:after="100" w:afterAutospacing="1" w:line="360" w:lineRule="auto"/>
        <w:rPr>
          <w:rFonts w:ascii="Calibri" w:eastAsia="Times New Roman" w:hAnsi="Calibri" w:cs="Calibri"/>
          <w:sz w:val="20"/>
          <w:szCs w:val="20"/>
        </w:rPr>
      </w:pPr>
      <w:proofErr w:type="spellStart"/>
      <w:r w:rsidRPr="0049676A">
        <w:rPr>
          <w:rFonts w:ascii="Calibri" w:eastAsia="Times New Roman" w:hAnsi="Calibri" w:cs="Calibri"/>
          <w:sz w:val="20"/>
          <w:szCs w:val="20"/>
        </w:rPr>
        <w:t>HashBank</w:t>
      </w:r>
      <w:proofErr w:type="spellEnd"/>
      <w:r w:rsidR="006A08E1" w:rsidRPr="0049676A">
        <w:rPr>
          <w:rFonts w:ascii="Calibri" w:eastAsia="Times New Roman" w:hAnsi="Calibri" w:cs="Calibri"/>
          <w:sz w:val="20"/>
          <w:szCs w:val="20"/>
          <w:lang w:val="ka-GE"/>
        </w:rPr>
        <w:t xml:space="preserve"> </w:t>
      </w:r>
      <w:r w:rsidR="006A08E1" w:rsidRPr="0049676A">
        <w:rPr>
          <w:rFonts w:ascii="Calibri" w:eastAsia="Times New Roman" w:hAnsi="Calibri" w:cs="Calibri"/>
          <w:sz w:val="20"/>
          <w:szCs w:val="20"/>
        </w:rPr>
        <w:t>JSC</w:t>
      </w:r>
      <w:r w:rsidRPr="0049676A">
        <w:rPr>
          <w:rFonts w:ascii="Calibri" w:eastAsia="Times New Roman" w:hAnsi="Calibri" w:cs="Calibri"/>
          <w:sz w:val="20"/>
          <w:szCs w:val="20"/>
        </w:rPr>
        <w:br/>
        <w:t>Bank Address</w:t>
      </w:r>
      <w:r w:rsidR="006A08E1" w:rsidRPr="0049676A">
        <w:rPr>
          <w:rFonts w:ascii="Calibri" w:eastAsia="Times New Roman" w:hAnsi="Calibri" w:cs="Calibri"/>
          <w:sz w:val="20"/>
          <w:szCs w:val="20"/>
        </w:rPr>
        <w:t xml:space="preserve"> : 71 </w:t>
      </w:r>
      <w:proofErr w:type="spellStart"/>
      <w:r w:rsidR="006A08E1" w:rsidRPr="0049676A">
        <w:rPr>
          <w:rFonts w:ascii="Calibri" w:eastAsia="Times New Roman" w:hAnsi="Calibri" w:cs="Calibri"/>
          <w:sz w:val="20"/>
          <w:szCs w:val="20"/>
        </w:rPr>
        <w:t>Vazha</w:t>
      </w:r>
      <w:proofErr w:type="spellEnd"/>
      <w:r w:rsidR="006A08E1" w:rsidRPr="0049676A">
        <w:rPr>
          <w:rFonts w:ascii="Calibri" w:eastAsia="Times New Roman" w:hAnsi="Calibri" w:cs="Calibri"/>
          <w:sz w:val="20"/>
          <w:szCs w:val="20"/>
        </w:rPr>
        <w:t xml:space="preserve"> </w:t>
      </w:r>
      <w:proofErr w:type="spellStart"/>
      <w:r w:rsidR="006A08E1" w:rsidRPr="0049676A">
        <w:rPr>
          <w:rFonts w:ascii="Calibri" w:eastAsia="Times New Roman" w:hAnsi="Calibri" w:cs="Calibri"/>
          <w:sz w:val="20"/>
          <w:szCs w:val="20"/>
        </w:rPr>
        <w:t>Pshavela</w:t>
      </w:r>
      <w:proofErr w:type="spellEnd"/>
      <w:r w:rsidR="006A08E1" w:rsidRPr="0049676A">
        <w:rPr>
          <w:rFonts w:ascii="Calibri" w:eastAsia="Times New Roman" w:hAnsi="Calibri" w:cs="Calibri"/>
          <w:sz w:val="20"/>
          <w:szCs w:val="20"/>
        </w:rPr>
        <w:t xml:space="preserve"> Ave, Tbilisi 0186, Georgia</w:t>
      </w:r>
      <w:r w:rsidRPr="0049676A">
        <w:rPr>
          <w:rFonts w:ascii="Calibri" w:eastAsia="Times New Roman" w:hAnsi="Calibri" w:cs="Calibri"/>
          <w:sz w:val="20"/>
          <w:szCs w:val="20"/>
        </w:rPr>
        <w:br/>
        <w:t>Contact Information</w:t>
      </w:r>
      <w:r w:rsidR="006A08E1" w:rsidRPr="0049676A">
        <w:rPr>
          <w:rFonts w:ascii="Calibri" w:eastAsia="Times New Roman" w:hAnsi="Calibri" w:cs="Calibri"/>
          <w:sz w:val="20"/>
          <w:szCs w:val="20"/>
        </w:rPr>
        <w:t xml:space="preserve"> :</w:t>
      </w:r>
      <w:r w:rsidR="006A08E1" w:rsidRPr="0049676A">
        <w:rPr>
          <w:rFonts w:ascii="Calibri" w:hAnsi="Calibri" w:cs="Calibri"/>
        </w:rPr>
        <w:t xml:space="preserve"> </w:t>
      </w:r>
      <w:hyperlink r:id="rId7" w:history="1">
        <w:r w:rsidR="00146BAA" w:rsidRPr="0049676A">
          <w:rPr>
            <w:rStyle w:val="Hyperlink"/>
            <w:rFonts w:ascii="Calibri" w:eastAsia="Times New Roman" w:hAnsi="Calibri" w:cs="Calibri"/>
            <w:color w:val="auto"/>
            <w:sz w:val="20"/>
            <w:szCs w:val="20"/>
          </w:rPr>
          <w:t>diana.kadaria@hashbank.ge</w:t>
        </w:r>
      </w:hyperlink>
      <w:r w:rsidR="00146BAA" w:rsidRPr="0049676A">
        <w:rPr>
          <w:rFonts w:ascii="Calibri" w:eastAsia="Times New Roman" w:hAnsi="Calibri" w:cs="Calibri"/>
          <w:sz w:val="20"/>
          <w:szCs w:val="20"/>
          <w:lang w:val="ka-GE"/>
        </w:rPr>
        <w:t xml:space="preserve"> </w:t>
      </w:r>
      <w:r w:rsidR="006A08E1" w:rsidRPr="0049676A">
        <w:rPr>
          <w:rFonts w:ascii="Calibri" w:eastAsia="Times New Roman" w:hAnsi="Calibri" w:cs="Calibri"/>
          <w:sz w:val="20"/>
          <w:szCs w:val="20"/>
        </w:rPr>
        <w:t xml:space="preserve">, </w:t>
      </w:r>
      <w:hyperlink r:id="rId8" w:tgtFrame="_blank" w:history="1">
        <w:r w:rsidR="008369C7" w:rsidRPr="0049676A">
          <w:rPr>
            <w:rStyle w:val="Hyperlink"/>
            <w:rFonts w:ascii="Calibri" w:eastAsia="Times New Roman" w:hAnsi="Calibri" w:cs="Calibri"/>
            <w:color w:val="auto"/>
            <w:sz w:val="20"/>
            <w:szCs w:val="20"/>
          </w:rPr>
          <w:t>salome.khorguashvili@hashbank.ge</w:t>
        </w:r>
      </w:hyperlink>
      <w:r w:rsidR="00BB5C51" w:rsidRPr="0049676A">
        <w:rPr>
          <w:rStyle w:val="Hyperlink"/>
          <w:rFonts w:ascii="Calibri" w:eastAsia="Times New Roman" w:hAnsi="Calibri" w:cs="Calibri"/>
          <w:color w:val="auto"/>
          <w:sz w:val="20"/>
          <w:szCs w:val="20"/>
        </w:rPr>
        <w:t>;</w:t>
      </w:r>
      <w:r w:rsidR="00BB5C51" w:rsidRPr="0049676A">
        <w:rPr>
          <w:rFonts w:ascii="Calibri" w:hAnsi="Calibri" w:cs="Calibri"/>
        </w:rPr>
        <w:t xml:space="preserve"> </w:t>
      </w:r>
      <w:r w:rsidR="00BB5C51" w:rsidRPr="0049676A">
        <w:rPr>
          <w:rStyle w:val="Hyperlink"/>
          <w:rFonts w:ascii="Calibri" w:eastAsia="Times New Roman" w:hAnsi="Calibri" w:cs="Calibri"/>
          <w:color w:val="auto"/>
          <w:sz w:val="20"/>
          <w:szCs w:val="20"/>
        </w:rPr>
        <w:t>salome.metreveli@hashbank.ge</w:t>
      </w:r>
    </w:p>
    <w:p w14:paraId="6B06FE15" w14:textId="3C9244C2" w:rsidR="00426BAA" w:rsidRPr="0049676A" w:rsidRDefault="00426BAA" w:rsidP="00426BAA">
      <w:p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Date of Issue:</w:t>
      </w:r>
      <w:r w:rsidRPr="0049676A">
        <w:rPr>
          <w:rFonts w:ascii="Calibri" w:eastAsia="Times New Roman" w:hAnsi="Calibri" w:cs="Calibri"/>
          <w:sz w:val="20"/>
          <w:szCs w:val="20"/>
        </w:rPr>
        <w:t xml:space="preserve"> </w:t>
      </w:r>
      <w:r w:rsidR="008369C7" w:rsidRPr="0049676A">
        <w:rPr>
          <w:rFonts w:ascii="Calibri" w:hAnsi="Calibri" w:cs="Calibri"/>
          <w:color w:val="EE0000"/>
          <w:sz w:val="20"/>
          <w:szCs w:val="20"/>
        </w:rPr>
        <w:t>November</w:t>
      </w:r>
      <w:r w:rsidR="0049676A" w:rsidRPr="0049676A">
        <w:rPr>
          <w:rFonts w:ascii="Calibri" w:hAnsi="Calibri" w:cs="Calibri"/>
          <w:color w:val="EE0000"/>
          <w:sz w:val="20"/>
          <w:szCs w:val="20"/>
        </w:rPr>
        <w:t xml:space="preserve"> 10</w:t>
      </w:r>
      <w:r w:rsidR="00146BAA" w:rsidRPr="0049676A">
        <w:rPr>
          <w:rFonts w:ascii="Calibri" w:hAnsi="Calibri" w:cs="Calibri"/>
          <w:color w:val="EE0000"/>
          <w:sz w:val="20"/>
          <w:szCs w:val="20"/>
        </w:rPr>
        <w:t>, 2025</w:t>
      </w:r>
      <w:r w:rsidRPr="0049676A">
        <w:rPr>
          <w:rFonts w:ascii="Calibri" w:eastAsia="Times New Roman" w:hAnsi="Calibri" w:cs="Calibri"/>
          <w:sz w:val="20"/>
          <w:szCs w:val="20"/>
        </w:rPr>
        <w:br/>
      </w:r>
      <w:r w:rsidRPr="0049676A">
        <w:rPr>
          <w:rFonts w:ascii="Calibri" w:eastAsia="Times New Roman" w:hAnsi="Calibri" w:cs="Calibri"/>
          <w:b/>
          <w:bCs/>
          <w:sz w:val="20"/>
          <w:szCs w:val="20"/>
        </w:rPr>
        <w:t>Proposal Submission Deadline:</w:t>
      </w:r>
      <w:r w:rsidRPr="0049676A">
        <w:rPr>
          <w:rFonts w:ascii="Calibri" w:eastAsia="Times New Roman" w:hAnsi="Calibri" w:cs="Calibri"/>
          <w:sz w:val="20"/>
          <w:szCs w:val="20"/>
        </w:rPr>
        <w:t xml:space="preserve"> </w:t>
      </w:r>
      <w:r w:rsidR="0049676A" w:rsidRPr="0049676A">
        <w:rPr>
          <w:rFonts w:ascii="Calibri" w:hAnsi="Calibri" w:cs="Calibri"/>
          <w:color w:val="EE0000"/>
          <w:sz w:val="20"/>
          <w:szCs w:val="20"/>
        </w:rPr>
        <w:t xml:space="preserve">November </w:t>
      </w:r>
      <w:r w:rsidR="0049676A" w:rsidRPr="0049676A">
        <w:rPr>
          <w:rFonts w:ascii="Calibri" w:hAnsi="Calibri" w:cs="Calibri"/>
          <w:color w:val="EE0000"/>
          <w:sz w:val="20"/>
          <w:szCs w:val="20"/>
        </w:rPr>
        <w:t>24</w:t>
      </w:r>
      <w:r w:rsidR="00146BAA" w:rsidRPr="0049676A">
        <w:rPr>
          <w:rFonts w:ascii="Calibri" w:hAnsi="Calibri" w:cs="Calibri"/>
          <w:color w:val="EE0000"/>
          <w:sz w:val="20"/>
          <w:szCs w:val="20"/>
        </w:rPr>
        <w:t>, 2025</w:t>
      </w:r>
    </w:p>
    <w:p w14:paraId="064E5FD9" w14:textId="77777777" w:rsidR="000100B4" w:rsidRPr="0049676A" w:rsidRDefault="000100B4" w:rsidP="00B32C6A">
      <w:pPr>
        <w:spacing w:before="100" w:beforeAutospacing="1" w:after="100" w:afterAutospacing="1" w:line="360" w:lineRule="auto"/>
        <w:rPr>
          <w:rFonts w:ascii="Calibri" w:eastAsia="Times New Roman" w:hAnsi="Calibri" w:cs="Calibri"/>
          <w:b/>
          <w:bCs/>
          <w:sz w:val="20"/>
          <w:szCs w:val="20"/>
        </w:rPr>
      </w:pPr>
    </w:p>
    <w:p w14:paraId="07BFB0D2" w14:textId="77777777" w:rsidR="000100B4" w:rsidRPr="0049676A" w:rsidRDefault="000100B4">
      <w:pPr>
        <w:rPr>
          <w:rFonts w:ascii="Calibri" w:eastAsia="Times New Roman" w:hAnsi="Calibri" w:cs="Calibri"/>
          <w:b/>
          <w:bCs/>
          <w:sz w:val="20"/>
          <w:szCs w:val="20"/>
        </w:rPr>
      </w:pPr>
      <w:r w:rsidRPr="0049676A">
        <w:rPr>
          <w:rFonts w:ascii="Calibri" w:eastAsia="Times New Roman" w:hAnsi="Calibri" w:cs="Calibri"/>
          <w:b/>
          <w:bCs/>
          <w:sz w:val="20"/>
          <w:szCs w:val="20"/>
        </w:rPr>
        <w:br w:type="page"/>
      </w:r>
    </w:p>
    <w:p w14:paraId="5FEF297A" w14:textId="77777777" w:rsidR="00457ECE" w:rsidRPr="0049676A" w:rsidRDefault="00437813" w:rsidP="00B32C6A">
      <w:pPr>
        <w:spacing w:after="0" w:line="360" w:lineRule="auto"/>
        <w:rPr>
          <w:rFonts w:ascii="Calibri" w:eastAsia="Times New Roman" w:hAnsi="Calibri" w:cs="Calibri"/>
          <w:sz w:val="20"/>
          <w:szCs w:val="20"/>
        </w:rPr>
      </w:pPr>
      <w:r w:rsidRPr="0049676A">
        <w:rPr>
          <w:rFonts w:ascii="Calibri" w:eastAsia="Times New Roman" w:hAnsi="Calibri" w:cs="Calibri"/>
          <w:noProof/>
          <w:sz w:val="20"/>
          <w:szCs w:val="20"/>
        </w:rPr>
        <w:lastRenderedPageBreak/>
        <w:pict w14:anchorId="14895721">
          <v:rect id="_x0000_i1033" alt="" style="width:451.3pt;height:.05pt;mso-width-percent:0;mso-height-percent:0;mso-width-percent:0;mso-height-percent:0" o:hralign="center" o:hrstd="t" o:hr="t" fillcolor="#a0a0a0" stroked="f"/>
        </w:pict>
      </w:r>
    </w:p>
    <w:p w14:paraId="75170835" w14:textId="77777777" w:rsidR="000100B4" w:rsidRPr="0049676A" w:rsidRDefault="000100B4" w:rsidP="00B32C6A">
      <w:pPr>
        <w:spacing w:after="0" w:line="360" w:lineRule="auto"/>
        <w:rPr>
          <w:rFonts w:ascii="Calibri" w:eastAsia="Times New Roman" w:hAnsi="Calibri" w:cs="Calibri"/>
          <w:sz w:val="20"/>
          <w:szCs w:val="20"/>
        </w:rPr>
      </w:pPr>
    </w:p>
    <w:sdt>
      <w:sdtPr>
        <w:rPr>
          <w:rFonts w:ascii="Calibri" w:eastAsiaTheme="minorHAnsi" w:hAnsi="Calibri" w:cs="Calibri"/>
          <w:color w:val="auto"/>
          <w:sz w:val="22"/>
          <w:szCs w:val="22"/>
        </w:rPr>
        <w:id w:val="347138686"/>
        <w:docPartObj>
          <w:docPartGallery w:val="Table of Contents"/>
          <w:docPartUnique/>
        </w:docPartObj>
      </w:sdtPr>
      <w:sdtEndPr>
        <w:rPr>
          <w:b/>
          <w:bCs/>
          <w:noProof/>
        </w:rPr>
      </w:sdtEndPr>
      <w:sdtContent>
        <w:p w14:paraId="5DE98C20" w14:textId="7EAE935C" w:rsidR="00B208B9" w:rsidRPr="0049676A" w:rsidRDefault="00B208B9">
          <w:pPr>
            <w:pStyle w:val="TOCHeading"/>
            <w:rPr>
              <w:rFonts w:ascii="Calibri" w:hAnsi="Calibri" w:cs="Calibri"/>
            </w:rPr>
          </w:pPr>
          <w:r w:rsidRPr="0049676A">
            <w:rPr>
              <w:rFonts w:ascii="Calibri" w:hAnsi="Calibri" w:cs="Calibri"/>
            </w:rPr>
            <w:t>Contents</w:t>
          </w:r>
        </w:p>
        <w:p w14:paraId="48105785" w14:textId="3BF24DBB" w:rsidR="00156808" w:rsidRPr="0049676A" w:rsidRDefault="00B208B9">
          <w:pPr>
            <w:pStyle w:val="TOC2"/>
            <w:tabs>
              <w:tab w:val="right" w:leader="dot" w:pos="9514"/>
            </w:tabs>
            <w:rPr>
              <w:rFonts w:ascii="Calibri" w:eastAsiaTheme="minorEastAsia" w:hAnsi="Calibri" w:cs="Calibri"/>
              <w:noProof/>
              <w:kern w:val="2"/>
              <w:sz w:val="24"/>
              <w:szCs w:val="24"/>
              <w:lang w:eastAsia="en-GB"/>
              <w14:ligatures w14:val="standardContextual"/>
            </w:rPr>
          </w:pPr>
          <w:r w:rsidRPr="0049676A">
            <w:rPr>
              <w:rFonts w:ascii="Calibri" w:hAnsi="Calibri" w:cs="Calibri"/>
            </w:rPr>
            <w:fldChar w:fldCharType="begin"/>
          </w:r>
          <w:r w:rsidRPr="0049676A">
            <w:rPr>
              <w:rFonts w:ascii="Calibri" w:hAnsi="Calibri" w:cs="Calibri"/>
            </w:rPr>
            <w:instrText xml:space="preserve"> TOC \o "1-3" \h \z \u </w:instrText>
          </w:r>
          <w:r w:rsidRPr="0049676A">
            <w:rPr>
              <w:rFonts w:ascii="Calibri" w:hAnsi="Calibri" w:cs="Calibri"/>
            </w:rPr>
            <w:fldChar w:fldCharType="separate"/>
          </w:r>
          <w:hyperlink w:anchor="_Toc213152054" w:history="1">
            <w:r w:rsidR="00156808" w:rsidRPr="0049676A">
              <w:rPr>
                <w:rStyle w:val="Hyperlink"/>
                <w:rFonts w:ascii="Calibri" w:eastAsia="Times New Roman" w:hAnsi="Calibri" w:cs="Calibri"/>
                <w:b/>
                <w:bCs/>
                <w:noProof/>
              </w:rPr>
              <w:t>1. Introduction</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_Toc213152054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3</w:t>
            </w:r>
            <w:r w:rsidR="00156808" w:rsidRPr="0049676A">
              <w:rPr>
                <w:rFonts w:ascii="Calibri" w:hAnsi="Calibri" w:cs="Calibri"/>
                <w:noProof/>
                <w:webHidden/>
              </w:rPr>
              <w:fldChar w:fldCharType="end"/>
            </w:r>
          </w:hyperlink>
        </w:p>
        <w:p w14:paraId="35FA53CC" w14:textId="6ECAF167"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55" w:history="1">
            <w:r w:rsidR="00156808" w:rsidRPr="0049676A">
              <w:rPr>
                <w:rStyle w:val="Hyperlink"/>
                <w:rFonts w:ascii="Calibri" w:eastAsia="Times New Roman" w:hAnsi="Calibri" w:cs="Calibri"/>
                <w:b/>
                <w:bCs/>
                <w:noProof/>
              </w:rPr>
              <w:t>2. Scope of Work</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_Toc213152055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3</w:t>
            </w:r>
            <w:r w:rsidR="00156808" w:rsidRPr="0049676A">
              <w:rPr>
                <w:rFonts w:ascii="Calibri" w:hAnsi="Calibri" w:cs="Calibri"/>
                <w:noProof/>
                <w:webHidden/>
              </w:rPr>
              <w:fldChar w:fldCharType="end"/>
            </w:r>
          </w:hyperlink>
        </w:p>
        <w:p w14:paraId="5F6D81B7" w14:textId="4DB2CBDF" w:rsidR="00156808" w:rsidRPr="0049676A" w:rsidRDefault="00437813">
          <w:pPr>
            <w:pStyle w:val="TOC3"/>
            <w:tabs>
              <w:tab w:val="right" w:leader="dot" w:pos="9514"/>
            </w:tabs>
            <w:rPr>
              <w:rFonts w:ascii="Calibri" w:eastAsiaTheme="minorEastAsia" w:hAnsi="Calibri" w:cs="Calibri"/>
              <w:noProof/>
              <w:kern w:val="2"/>
              <w:sz w:val="24"/>
              <w:szCs w:val="24"/>
              <w:lang w:eastAsia="en-GB"/>
              <w14:ligatures w14:val="standardContextual"/>
            </w:rPr>
          </w:pPr>
          <w:hyperlink w:anchor="_Toc213152056" w:history="1">
            <w:r w:rsidR="00156808" w:rsidRPr="0049676A">
              <w:rPr>
                <w:rStyle w:val="Hyperlink"/>
                <w:rFonts w:ascii="Calibri" w:eastAsia="Times New Roman" w:hAnsi="Calibri" w:cs="Calibri"/>
                <w:b/>
                <w:bCs/>
                <w:noProof/>
              </w:rPr>
              <w:t>2.1 Blockchain Coverage &amp; Monitoring</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_Toc213152056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3</w:t>
            </w:r>
            <w:r w:rsidR="00156808" w:rsidRPr="0049676A">
              <w:rPr>
                <w:rFonts w:ascii="Calibri" w:hAnsi="Calibri" w:cs="Calibri"/>
                <w:noProof/>
                <w:webHidden/>
              </w:rPr>
              <w:fldChar w:fldCharType="end"/>
            </w:r>
          </w:hyperlink>
        </w:p>
        <w:p w14:paraId="071623B3" w14:textId="5176BB4B" w:rsidR="00156808" w:rsidRPr="0049676A" w:rsidRDefault="00437813">
          <w:pPr>
            <w:pStyle w:val="TOC3"/>
            <w:tabs>
              <w:tab w:val="right" w:leader="dot" w:pos="9514"/>
            </w:tabs>
            <w:rPr>
              <w:rFonts w:ascii="Calibri" w:eastAsiaTheme="minorEastAsia" w:hAnsi="Calibri" w:cs="Calibri"/>
              <w:noProof/>
              <w:kern w:val="2"/>
              <w:sz w:val="24"/>
              <w:szCs w:val="24"/>
              <w:lang w:eastAsia="en-GB"/>
              <w14:ligatures w14:val="standardContextual"/>
            </w:rPr>
          </w:pPr>
          <w:hyperlink w:anchor="_Toc213152057" w:history="1">
            <w:r w:rsidR="00156808" w:rsidRPr="0049676A">
              <w:rPr>
                <w:rStyle w:val="Hyperlink"/>
                <w:rFonts w:ascii="Calibri" w:eastAsia="Times New Roman" w:hAnsi="Calibri" w:cs="Calibri"/>
                <w:b/>
                <w:bCs/>
                <w:noProof/>
              </w:rPr>
              <w:t>2.2 Compliance &amp; Sanctions Screening</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_Toc213152057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4</w:t>
            </w:r>
            <w:r w:rsidR="00156808" w:rsidRPr="0049676A">
              <w:rPr>
                <w:rFonts w:ascii="Calibri" w:hAnsi="Calibri" w:cs="Calibri"/>
                <w:noProof/>
                <w:webHidden/>
              </w:rPr>
              <w:fldChar w:fldCharType="end"/>
            </w:r>
          </w:hyperlink>
        </w:p>
        <w:p w14:paraId="776431D0" w14:textId="2CD52563" w:rsidR="00156808" w:rsidRPr="0049676A" w:rsidRDefault="00437813">
          <w:pPr>
            <w:pStyle w:val="TOC3"/>
            <w:tabs>
              <w:tab w:val="right" w:leader="dot" w:pos="9514"/>
            </w:tabs>
            <w:rPr>
              <w:rFonts w:ascii="Calibri" w:eastAsiaTheme="minorEastAsia" w:hAnsi="Calibri" w:cs="Calibri"/>
              <w:noProof/>
              <w:kern w:val="2"/>
              <w:sz w:val="24"/>
              <w:szCs w:val="24"/>
              <w:lang w:eastAsia="en-GB"/>
              <w14:ligatures w14:val="standardContextual"/>
            </w:rPr>
          </w:pPr>
          <w:hyperlink w:anchor="_Toc213152058" w:history="1">
            <w:r w:rsidR="00156808" w:rsidRPr="0049676A">
              <w:rPr>
                <w:rStyle w:val="Hyperlink"/>
                <w:rFonts w:ascii="Calibri" w:eastAsia="Times New Roman" w:hAnsi="Calibri" w:cs="Calibri"/>
                <w:b/>
                <w:bCs/>
                <w:noProof/>
              </w:rPr>
              <w:t>2.3 Risk Detection &amp; Analytics</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_Toc213152058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4</w:t>
            </w:r>
            <w:r w:rsidR="00156808" w:rsidRPr="0049676A">
              <w:rPr>
                <w:rFonts w:ascii="Calibri" w:hAnsi="Calibri" w:cs="Calibri"/>
                <w:noProof/>
                <w:webHidden/>
              </w:rPr>
              <w:fldChar w:fldCharType="end"/>
            </w:r>
          </w:hyperlink>
        </w:p>
        <w:p w14:paraId="59D7E3B5" w14:textId="3639460D" w:rsidR="00156808" w:rsidRPr="0049676A" w:rsidRDefault="00437813">
          <w:pPr>
            <w:pStyle w:val="TOC3"/>
            <w:tabs>
              <w:tab w:val="right" w:leader="dot" w:pos="9514"/>
            </w:tabs>
            <w:rPr>
              <w:rFonts w:ascii="Calibri" w:eastAsiaTheme="minorEastAsia" w:hAnsi="Calibri" w:cs="Calibri"/>
              <w:noProof/>
              <w:kern w:val="2"/>
              <w:sz w:val="24"/>
              <w:szCs w:val="24"/>
              <w:lang w:eastAsia="en-GB"/>
              <w14:ligatures w14:val="standardContextual"/>
            </w:rPr>
          </w:pPr>
          <w:hyperlink w:anchor="_Toc213152059" w:history="1">
            <w:r w:rsidR="00156808" w:rsidRPr="0049676A">
              <w:rPr>
                <w:rStyle w:val="Hyperlink"/>
                <w:rFonts w:ascii="Calibri" w:eastAsia="Times New Roman" w:hAnsi="Calibri" w:cs="Calibri"/>
                <w:b/>
                <w:bCs/>
                <w:noProof/>
              </w:rPr>
              <w:t>2.4 Data Security &amp; Residency</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_Toc213152059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4</w:t>
            </w:r>
            <w:r w:rsidR="00156808" w:rsidRPr="0049676A">
              <w:rPr>
                <w:rFonts w:ascii="Calibri" w:hAnsi="Calibri" w:cs="Calibri"/>
                <w:noProof/>
                <w:webHidden/>
              </w:rPr>
              <w:fldChar w:fldCharType="end"/>
            </w:r>
          </w:hyperlink>
        </w:p>
        <w:p w14:paraId="4A478D37" w14:textId="34571BAE" w:rsidR="00156808" w:rsidRPr="0049676A" w:rsidRDefault="00437813">
          <w:pPr>
            <w:pStyle w:val="TOC3"/>
            <w:tabs>
              <w:tab w:val="right" w:leader="dot" w:pos="9514"/>
            </w:tabs>
            <w:rPr>
              <w:rFonts w:ascii="Calibri" w:eastAsiaTheme="minorEastAsia" w:hAnsi="Calibri" w:cs="Calibri"/>
              <w:noProof/>
              <w:kern w:val="2"/>
              <w:sz w:val="24"/>
              <w:szCs w:val="24"/>
              <w:lang w:eastAsia="en-GB"/>
              <w14:ligatures w14:val="standardContextual"/>
            </w:rPr>
          </w:pPr>
          <w:hyperlink w:anchor="_Toc213152060" w:history="1">
            <w:r w:rsidR="00156808" w:rsidRPr="0049676A">
              <w:rPr>
                <w:rStyle w:val="Hyperlink"/>
                <w:rFonts w:ascii="Calibri" w:eastAsia="Times New Roman" w:hAnsi="Calibri" w:cs="Calibri"/>
                <w:b/>
                <w:bCs/>
                <w:noProof/>
              </w:rPr>
              <w:t>2.5 Integrations &amp; Reporting</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_Toc213152060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4</w:t>
            </w:r>
            <w:r w:rsidR="00156808" w:rsidRPr="0049676A">
              <w:rPr>
                <w:rFonts w:ascii="Calibri" w:hAnsi="Calibri" w:cs="Calibri"/>
                <w:noProof/>
                <w:webHidden/>
              </w:rPr>
              <w:fldChar w:fldCharType="end"/>
            </w:r>
          </w:hyperlink>
        </w:p>
        <w:p w14:paraId="3601577D" w14:textId="499D6873" w:rsidR="00156808" w:rsidRPr="0049676A" w:rsidRDefault="00437813">
          <w:pPr>
            <w:pStyle w:val="TOC3"/>
            <w:tabs>
              <w:tab w:val="right" w:leader="dot" w:pos="9514"/>
            </w:tabs>
            <w:rPr>
              <w:rFonts w:ascii="Calibri" w:eastAsiaTheme="minorEastAsia" w:hAnsi="Calibri" w:cs="Calibri"/>
              <w:noProof/>
              <w:kern w:val="2"/>
              <w:sz w:val="24"/>
              <w:szCs w:val="24"/>
              <w:lang w:eastAsia="en-GB"/>
              <w14:ligatures w14:val="standardContextual"/>
            </w:rPr>
          </w:pPr>
          <w:hyperlink w:anchor="_Toc213152061" w:history="1">
            <w:r w:rsidR="00156808" w:rsidRPr="0049676A">
              <w:rPr>
                <w:rStyle w:val="Hyperlink"/>
                <w:rFonts w:ascii="Calibri" w:eastAsia="Times New Roman" w:hAnsi="Calibri" w:cs="Calibri"/>
                <w:b/>
                <w:bCs/>
                <w:noProof/>
              </w:rPr>
              <w:t>2.6 Deployment &amp; Scalability</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_Toc213152061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5</w:t>
            </w:r>
            <w:r w:rsidR="00156808" w:rsidRPr="0049676A">
              <w:rPr>
                <w:rFonts w:ascii="Calibri" w:hAnsi="Calibri" w:cs="Calibri"/>
                <w:noProof/>
                <w:webHidden/>
              </w:rPr>
              <w:fldChar w:fldCharType="end"/>
            </w:r>
          </w:hyperlink>
        </w:p>
        <w:p w14:paraId="6C862E73" w14:textId="0660CA25"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2" w:history="1">
            <w:r w:rsidR="00156808" w:rsidRPr="0049676A">
              <w:rPr>
                <w:rStyle w:val="Hyperlink"/>
                <w:rFonts w:ascii="Calibri" w:eastAsia="Times New Roman" w:hAnsi="Calibri" w:cs="Calibri"/>
                <w:b/>
                <w:bCs/>
                <w:noProof/>
              </w:rPr>
              <w:t>3. Vendor Requirements</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_Toc213152062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5</w:t>
            </w:r>
            <w:r w:rsidR="00156808" w:rsidRPr="0049676A">
              <w:rPr>
                <w:rFonts w:ascii="Calibri" w:hAnsi="Calibri" w:cs="Calibri"/>
                <w:noProof/>
                <w:webHidden/>
              </w:rPr>
              <w:fldChar w:fldCharType="end"/>
            </w:r>
          </w:hyperlink>
        </w:p>
        <w:p w14:paraId="72B0DC06" w14:textId="5175FC71"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3" w:history="1">
            <w:r w:rsidR="00156808" w:rsidRPr="0049676A">
              <w:rPr>
                <w:rStyle w:val="Hyperlink"/>
                <w:rFonts w:ascii="Calibri" w:eastAsia="Times New Roman" w:hAnsi="Calibri" w:cs="Calibri"/>
                <w:b/>
                <w:bCs/>
                <w:noProof/>
              </w:rPr>
              <w:t>4. Proposal Submission Requirements</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_Toc213152063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5</w:t>
            </w:r>
            <w:r w:rsidR="00156808" w:rsidRPr="0049676A">
              <w:rPr>
                <w:rFonts w:ascii="Calibri" w:hAnsi="Calibri" w:cs="Calibri"/>
                <w:noProof/>
                <w:webHidden/>
              </w:rPr>
              <w:fldChar w:fldCharType="end"/>
            </w:r>
          </w:hyperlink>
        </w:p>
        <w:p w14:paraId="05F5C1C0" w14:textId="75F4F9C6"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4" w:history="1">
            <w:r w:rsidR="00156808" w:rsidRPr="0049676A">
              <w:rPr>
                <w:rStyle w:val="Hyperlink"/>
                <w:rFonts w:ascii="Calibri" w:eastAsia="Times New Roman" w:hAnsi="Calibri" w:cs="Calibri"/>
                <w:b/>
                <w:bCs/>
                <w:noProof/>
              </w:rPr>
              <w:t>5. Evaluation Criteria</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_Toc213152064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6</w:t>
            </w:r>
            <w:r w:rsidR="00156808" w:rsidRPr="0049676A">
              <w:rPr>
                <w:rFonts w:ascii="Calibri" w:hAnsi="Calibri" w:cs="Calibri"/>
                <w:noProof/>
                <w:webHidden/>
              </w:rPr>
              <w:fldChar w:fldCharType="end"/>
            </w:r>
          </w:hyperlink>
        </w:p>
        <w:p w14:paraId="4016A80F" w14:textId="0BD74EAD"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5" w:history="1">
            <w:r w:rsidR="00156808" w:rsidRPr="0049676A">
              <w:rPr>
                <w:rStyle w:val="Hyperlink"/>
                <w:rFonts w:ascii="Calibri" w:eastAsia="Times New Roman" w:hAnsi="Calibri" w:cs="Calibri"/>
                <w:noProof/>
              </w:rPr>
              <w:t>Proposals will be evaluated based on the following criteria:</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_Toc213152065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6</w:t>
            </w:r>
            <w:r w:rsidR="00156808" w:rsidRPr="0049676A">
              <w:rPr>
                <w:rFonts w:ascii="Calibri" w:hAnsi="Calibri" w:cs="Calibri"/>
                <w:noProof/>
                <w:webHidden/>
              </w:rPr>
              <w:fldChar w:fldCharType="end"/>
            </w:r>
          </w:hyperlink>
        </w:p>
        <w:p w14:paraId="403A21F7" w14:textId="26BFFD1C"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6" w:history="1">
            <w:r w:rsidR="00156808" w:rsidRPr="0049676A">
              <w:rPr>
                <w:rStyle w:val="Hyperlink"/>
                <w:rFonts w:ascii="Calibri" w:eastAsia="Times New Roman" w:hAnsi="Calibri" w:cs="Calibri"/>
                <w:b/>
                <w:bCs/>
                <w:noProof/>
                <w:lang w:val="ka-GE"/>
              </w:rPr>
              <w:t>6</w:t>
            </w:r>
            <w:r w:rsidR="00156808" w:rsidRPr="0049676A">
              <w:rPr>
                <w:rStyle w:val="Hyperlink"/>
                <w:rFonts w:ascii="Calibri" w:eastAsia="Times New Roman" w:hAnsi="Calibri" w:cs="Calibri"/>
                <w:b/>
                <w:bCs/>
                <w:noProof/>
              </w:rPr>
              <w:t>. Grounds for Disqualification</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_Toc213152066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6</w:t>
            </w:r>
            <w:r w:rsidR="00156808" w:rsidRPr="0049676A">
              <w:rPr>
                <w:rFonts w:ascii="Calibri" w:hAnsi="Calibri" w:cs="Calibri"/>
                <w:noProof/>
                <w:webHidden/>
              </w:rPr>
              <w:fldChar w:fldCharType="end"/>
            </w:r>
          </w:hyperlink>
        </w:p>
        <w:p w14:paraId="1135C465" w14:textId="6403777A"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7" w:history="1">
            <w:r w:rsidR="00156808" w:rsidRPr="0049676A">
              <w:rPr>
                <w:rStyle w:val="Hyperlink"/>
                <w:rFonts w:ascii="Calibri" w:eastAsia="Times New Roman" w:hAnsi="Calibri" w:cs="Calibri"/>
                <w:b/>
                <w:bCs/>
                <w:noProof/>
              </w:rPr>
              <w:t>7. Submission Process</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_Toc213152067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6</w:t>
            </w:r>
            <w:r w:rsidR="00156808" w:rsidRPr="0049676A">
              <w:rPr>
                <w:rFonts w:ascii="Calibri" w:hAnsi="Calibri" w:cs="Calibri"/>
                <w:noProof/>
                <w:webHidden/>
              </w:rPr>
              <w:fldChar w:fldCharType="end"/>
            </w:r>
          </w:hyperlink>
        </w:p>
        <w:p w14:paraId="56BC0AFE" w14:textId="0CF6B45F" w:rsidR="00156808" w:rsidRPr="0049676A" w:rsidRDefault="00156808">
          <w:pPr>
            <w:pStyle w:val="TOC2"/>
            <w:tabs>
              <w:tab w:val="right" w:leader="dot" w:pos="9514"/>
            </w:tabs>
            <w:rPr>
              <w:rFonts w:ascii="Calibri" w:eastAsiaTheme="minorEastAsia" w:hAnsi="Calibri" w:cs="Calibri"/>
              <w:noProof/>
              <w:kern w:val="2"/>
              <w:sz w:val="24"/>
              <w:szCs w:val="24"/>
              <w:lang w:eastAsia="en-GB"/>
              <w14:ligatures w14:val="standardContextual"/>
            </w:rPr>
          </w:pPr>
          <w:r w:rsidRPr="0049676A">
            <w:rPr>
              <w:rFonts w:ascii="Calibri" w:eastAsia="Times New Roman" w:hAnsi="Calibri" w:cs="Calibri"/>
              <w:noProof/>
            </w:rPr>
            <w:t>The submission of tender proposals shall be carried out electronically through www.tenders.ge, in</w:t>
          </w:r>
          <w:r w:rsidRPr="0049676A">
            <w:rPr>
              <w:rFonts w:ascii="Calibri" w:hAnsi="Calibri" w:cs="Calibri"/>
              <w:noProof/>
            </w:rPr>
            <w:t xml:space="preserve"> accordance with the sealed envelope principleTender proposals must be submitted by no later than </w:t>
          </w:r>
          <w:r w:rsidRPr="0049676A">
            <w:rPr>
              <w:rFonts w:ascii="Calibri" w:hAnsi="Calibri" w:cs="Calibri"/>
              <w:b/>
              <w:bCs/>
              <w:noProof/>
            </w:rPr>
            <w:t xml:space="preserve">18:00 (Georgian local time) on </w:t>
          </w:r>
          <w:r w:rsidR="0049676A" w:rsidRPr="0049676A">
            <w:rPr>
              <w:rFonts w:ascii="Calibri" w:hAnsi="Calibri" w:cs="Calibri"/>
              <w:b/>
              <w:bCs/>
              <w:noProof/>
            </w:rPr>
            <w:t xml:space="preserve">November </w:t>
          </w:r>
          <w:r w:rsidR="0049676A" w:rsidRPr="0049676A">
            <w:rPr>
              <w:rFonts w:ascii="Calibri" w:hAnsi="Calibri" w:cs="Calibri"/>
              <w:b/>
              <w:bCs/>
              <w:noProof/>
            </w:rPr>
            <w:t>24</w:t>
          </w:r>
          <w:r w:rsidRPr="0049676A">
            <w:rPr>
              <w:rFonts w:ascii="Calibri" w:hAnsi="Calibri" w:cs="Calibri"/>
              <w:b/>
              <w:bCs/>
              <w:noProof/>
            </w:rPr>
            <w:t>, 2025.</w:t>
          </w:r>
          <w:r w:rsidRPr="0049676A">
            <w:rPr>
              <w:rFonts w:ascii="Calibri" w:hAnsi="Calibri" w:cs="Calibri"/>
              <w:noProof/>
              <w:webHidden/>
            </w:rPr>
            <w:tab/>
          </w:r>
          <w:r w:rsidRPr="0049676A">
            <w:rPr>
              <w:rFonts w:ascii="Calibri" w:hAnsi="Calibri" w:cs="Calibri"/>
              <w:noProof/>
              <w:webHidden/>
            </w:rPr>
            <w:fldChar w:fldCharType="begin"/>
          </w:r>
          <w:r w:rsidRPr="0049676A">
            <w:rPr>
              <w:rFonts w:ascii="Calibri" w:hAnsi="Calibri" w:cs="Calibri"/>
              <w:noProof/>
              <w:webHidden/>
            </w:rPr>
            <w:instrText xml:space="preserve"> PAGEREF _Toc213152068 \h </w:instrText>
          </w:r>
          <w:r w:rsidRPr="0049676A">
            <w:rPr>
              <w:rFonts w:ascii="Calibri" w:hAnsi="Calibri" w:cs="Calibri"/>
              <w:noProof/>
              <w:webHidden/>
            </w:rPr>
          </w:r>
          <w:r w:rsidRPr="0049676A">
            <w:rPr>
              <w:rFonts w:ascii="Calibri" w:hAnsi="Calibri" w:cs="Calibri"/>
              <w:noProof/>
              <w:webHidden/>
            </w:rPr>
            <w:fldChar w:fldCharType="separate"/>
          </w:r>
          <w:r w:rsidRPr="0049676A">
            <w:rPr>
              <w:rFonts w:ascii="Calibri" w:hAnsi="Calibri" w:cs="Calibri"/>
              <w:noProof/>
              <w:webHidden/>
            </w:rPr>
            <w:t>6</w:t>
          </w:r>
          <w:r w:rsidRPr="0049676A">
            <w:rPr>
              <w:rFonts w:ascii="Calibri" w:hAnsi="Calibri" w:cs="Calibri"/>
              <w:noProof/>
              <w:webHidden/>
            </w:rPr>
            <w:fldChar w:fldCharType="end"/>
          </w:r>
        </w:p>
        <w:p w14:paraId="06FE83E0" w14:textId="56990E8B"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69" w:history="1">
            <w:r w:rsidR="00156808" w:rsidRPr="0049676A">
              <w:rPr>
                <w:rStyle w:val="Hyperlink"/>
                <w:rFonts w:ascii="Calibri" w:eastAsia="Times New Roman" w:hAnsi="Calibri" w:cs="Calibri"/>
                <w:b/>
                <w:bCs/>
                <w:noProof/>
                <w:lang w:val="ka-GE"/>
              </w:rPr>
              <w:t>8</w:t>
            </w:r>
            <w:r w:rsidR="00156808" w:rsidRPr="0049676A">
              <w:rPr>
                <w:rStyle w:val="Hyperlink"/>
                <w:rFonts w:ascii="Calibri" w:eastAsia="Times New Roman" w:hAnsi="Calibri" w:cs="Calibri"/>
                <w:b/>
                <w:bCs/>
                <w:noProof/>
              </w:rPr>
              <w:t>. Additional Information</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_Toc213152069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7</w:t>
            </w:r>
            <w:r w:rsidR="00156808" w:rsidRPr="0049676A">
              <w:rPr>
                <w:rFonts w:ascii="Calibri" w:hAnsi="Calibri" w:cs="Calibri"/>
                <w:noProof/>
                <w:webHidden/>
              </w:rPr>
              <w:fldChar w:fldCharType="end"/>
            </w:r>
          </w:hyperlink>
        </w:p>
        <w:p w14:paraId="6D15D46E" w14:textId="68F06347"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70" w:history="1">
            <w:r w:rsidR="00156808" w:rsidRPr="0049676A">
              <w:rPr>
                <w:rStyle w:val="Hyperlink"/>
                <w:rFonts w:ascii="Calibri" w:eastAsia="Times New Roman" w:hAnsi="Calibri" w:cs="Calibri"/>
                <w:b/>
                <w:noProof/>
                <w:lang w:val="ka-GE"/>
              </w:rPr>
              <w:t>9. Blockchain Analytics – Detailed Description</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_Toc213152070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8</w:t>
            </w:r>
            <w:r w:rsidR="00156808" w:rsidRPr="0049676A">
              <w:rPr>
                <w:rFonts w:ascii="Calibri" w:hAnsi="Calibri" w:cs="Calibri"/>
                <w:noProof/>
                <w:webHidden/>
              </w:rPr>
              <w:fldChar w:fldCharType="end"/>
            </w:r>
          </w:hyperlink>
        </w:p>
        <w:p w14:paraId="798378AB" w14:textId="2E406C49"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71" w:history="1">
            <w:r w:rsidR="00156808" w:rsidRPr="0049676A">
              <w:rPr>
                <w:rStyle w:val="Hyperlink"/>
                <w:rFonts w:ascii="Calibri" w:eastAsia="Times New Roman" w:hAnsi="Calibri" w:cs="Calibri"/>
                <w:b/>
                <w:noProof/>
              </w:rPr>
              <w:t>12. Integration &amp; Architecture – Detailed Description</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_Toc213152071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9</w:t>
            </w:r>
            <w:r w:rsidR="00156808" w:rsidRPr="0049676A">
              <w:rPr>
                <w:rFonts w:ascii="Calibri" w:hAnsi="Calibri" w:cs="Calibri"/>
                <w:noProof/>
                <w:webHidden/>
              </w:rPr>
              <w:fldChar w:fldCharType="end"/>
            </w:r>
          </w:hyperlink>
        </w:p>
        <w:p w14:paraId="43B929F0" w14:textId="6E95EE65" w:rsidR="00156808" w:rsidRPr="0049676A" w:rsidRDefault="00437813">
          <w:pPr>
            <w:pStyle w:val="TOC2"/>
            <w:tabs>
              <w:tab w:val="right" w:leader="dot" w:pos="9514"/>
            </w:tabs>
            <w:rPr>
              <w:rFonts w:ascii="Calibri" w:eastAsiaTheme="minorEastAsia" w:hAnsi="Calibri" w:cs="Calibri"/>
              <w:noProof/>
              <w:kern w:val="2"/>
              <w:sz w:val="24"/>
              <w:szCs w:val="24"/>
              <w:lang w:eastAsia="en-GB"/>
              <w14:ligatures w14:val="standardContextual"/>
            </w:rPr>
          </w:pPr>
          <w:hyperlink w:anchor="_Toc213152072" w:history="1">
            <w:r w:rsidR="00156808" w:rsidRPr="0049676A">
              <w:rPr>
                <w:rStyle w:val="Hyperlink"/>
                <w:rFonts w:ascii="Calibri" w:eastAsia="Times New Roman" w:hAnsi="Calibri" w:cs="Calibri"/>
                <w:b/>
                <w:noProof/>
              </w:rPr>
              <w:t>1</w:t>
            </w:r>
            <w:r w:rsidR="00156808" w:rsidRPr="0049676A">
              <w:rPr>
                <w:rStyle w:val="Hyperlink"/>
                <w:rFonts w:ascii="Calibri" w:eastAsia="Times New Roman" w:hAnsi="Calibri" w:cs="Calibri"/>
                <w:b/>
                <w:noProof/>
                <w:lang w:val="ka-GE"/>
              </w:rPr>
              <w:t>3</w:t>
            </w:r>
            <w:r w:rsidR="00156808" w:rsidRPr="0049676A">
              <w:rPr>
                <w:rStyle w:val="Hyperlink"/>
                <w:rFonts w:ascii="Calibri" w:eastAsia="Times New Roman" w:hAnsi="Calibri" w:cs="Calibri"/>
                <w:b/>
                <w:noProof/>
              </w:rPr>
              <w:t xml:space="preserve">. </w:t>
            </w:r>
            <w:r w:rsidR="00156808" w:rsidRPr="0049676A">
              <w:rPr>
                <w:rStyle w:val="Hyperlink"/>
                <w:rFonts w:ascii="Calibri" w:eastAsia="Times New Roman" w:hAnsi="Calibri" w:cs="Calibri"/>
                <w:b/>
                <w:bCs/>
                <w:noProof/>
              </w:rPr>
              <w:t xml:space="preserve">Knowledge Transfer &amp; Consulting </w:t>
            </w:r>
            <w:r w:rsidR="00156808" w:rsidRPr="0049676A">
              <w:rPr>
                <w:rStyle w:val="Hyperlink"/>
                <w:rFonts w:ascii="Calibri" w:eastAsia="Times New Roman" w:hAnsi="Calibri" w:cs="Calibri"/>
                <w:b/>
                <w:noProof/>
              </w:rPr>
              <w:t>- Detailed Description</w:t>
            </w:r>
            <w:r w:rsidR="00156808" w:rsidRPr="0049676A">
              <w:rPr>
                <w:rFonts w:ascii="Calibri" w:hAnsi="Calibri" w:cs="Calibri"/>
                <w:noProof/>
                <w:webHidden/>
              </w:rPr>
              <w:tab/>
            </w:r>
            <w:r w:rsidR="00156808" w:rsidRPr="0049676A">
              <w:rPr>
                <w:rFonts w:ascii="Calibri" w:hAnsi="Calibri" w:cs="Calibri"/>
                <w:noProof/>
                <w:webHidden/>
              </w:rPr>
              <w:fldChar w:fldCharType="begin"/>
            </w:r>
            <w:r w:rsidR="00156808" w:rsidRPr="0049676A">
              <w:rPr>
                <w:rFonts w:ascii="Calibri" w:hAnsi="Calibri" w:cs="Calibri"/>
                <w:noProof/>
                <w:webHidden/>
              </w:rPr>
              <w:instrText xml:space="preserve"> PAGEREF _Toc213152072 \h </w:instrText>
            </w:r>
            <w:r w:rsidR="00156808" w:rsidRPr="0049676A">
              <w:rPr>
                <w:rFonts w:ascii="Calibri" w:hAnsi="Calibri" w:cs="Calibri"/>
                <w:noProof/>
                <w:webHidden/>
              </w:rPr>
            </w:r>
            <w:r w:rsidR="00156808" w:rsidRPr="0049676A">
              <w:rPr>
                <w:rFonts w:ascii="Calibri" w:hAnsi="Calibri" w:cs="Calibri"/>
                <w:noProof/>
                <w:webHidden/>
              </w:rPr>
              <w:fldChar w:fldCharType="separate"/>
            </w:r>
            <w:r w:rsidR="00156808" w:rsidRPr="0049676A">
              <w:rPr>
                <w:rFonts w:ascii="Calibri" w:hAnsi="Calibri" w:cs="Calibri"/>
                <w:noProof/>
                <w:webHidden/>
              </w:rPr>
              <w:t>9</w:t>
            </w:r>
            <w:r w:rsidR="00156808" w:rsidRPr="0049676A">
              <w:rPr>
                <w:rFonts w:ascii="Calibri" w:hAnsi="Calibri" w:cs="Calibri"/>
                <w:noProof/>
                <w:webHidden/>
              </w:rPr>
              <w:fldChar w:fldCharType="end"/>
            </w:r>
          </w:hyperlink>
        </w:p>
        <w:p w14:paraId="63B19C70" w14:textId="318AB2BB" w:rsidR="00B208B9" w:rsidRPr="0049676A" w:rsidRDefault="00B208B9">
          <w:pPr>
            <w:rPr>
              <w:rFonts w:ascii="Calibri" w:hAnsi="Calibri" w:cs="Calibri"/>
            </w:rPr>
          </w:pPr>
          <w:r w:rsidRPr="0049676A">
            <w:rPr>
              <w:rFonts w:ascii="Calibri" w:hAnsi="Calibri" w:cs="Calibri"/>
              <w:b/>
              <w:bCs/>
              <w:noProof/>
            </w:rPr>
            <w:fldChar w:fldCharType="end"/>
          </w:r>
        </w:p>
      </w:sdtContent>
    </w:sdt>
    <w:p w14:paraId="3C173FE4" w14:textId="216FF2CF" w:rsidR="00426BAA" w:rsidRPr="0049676A" w:rsidRDefault="00426BAA" w:rsidP="00426BAA">
      <w:pPr>
        <w:rPr>
          <w:rFonts w:ascii="Calibri" w:eastAsia="Times New Roman" w:hAnsi="Calibri" w:cs="Calibri"/>
          <w:sz w:val="20"/>
          <w:szCs w:val="20"/>
        </w:rPr>
      </w:pPr>
      <w:r w:rsidRPr="0049676A">
        <w:rPr>
          <w:rFonts w:ascii="Calibri" w:eastAsia="Times New Roman" w:hAnsi="Calibri" w:cs="Calibri"/>
          <w:sz w:val="20"/>
          <w:szCs w:val="20"/>
        </w:rPr>
        <w:br w:type="page"/>
      </w:r>
    </w:p>
    <w:p w14:paraId="62FAED49" w14:textId="77777777" w:rsidR="00457ECE" w:rsidRPr="0049676A" w:rsidRDefault="00457ECE" w:rsidP="00B32C6A">
      <w:pPr>
        <w:spacing w:before="100" w:beforeAutospacing="1" w:after="100" w:afterAutospacing="1" w:line="360" w:lineRule="auto"/>
        <w:outlineLvl w:val="1"/>
        <w:rPr>
          <w:rFonts w:ascii="Calibri" w:eastAsia="Times New Roman" w:hAnsi="Calibri" w:cs="Calibri"/>
          <w:b/>
          <w:bCs/>
          <w:sz w:val="20"/>
          <w:szCs w:val="20"/>
        </w:rPr>
      </w:pPr>
      <w:bookmarkStart w:id="1" w:name="_Toc192693601"/>
      <w:bookmarkStart w:id="2" w:name="_Toc213152054"/>
      <w:r w:rsidRPr="0049676A">
        <w:rPr>
          <w:rFonts w:ascii="Calibri" w:eastAsia="Times New Roman" w:hAnsi="Calibri" w:cs="Calibri"/>
          <w:b/>
          <w:bCs/>
          <w:sz w:val="20"/>
          <w:szCs w:val="20"/>
        </w:rPr>
        <w:lastRenderedPageBreak/>
        <w:t>1. Introduction</w:t>
      </w:r>
      <w:bookmarkEnd w:id="1"/>
      <w:bookmarkEnd w:id="2"/>
    </w:p>
    <w:p w14:paraId="5C5DE73E" w14:textId="77777777" w:rsidR="008369C7" w:rsidRPr="0049676A" w:rsidRDefault="008369C7" w:rsidP="008369C7">
      <w:pPr>
        <w:spacing w:before="100" w:beforeAutospacing="1" w:after="100" w:afterAutospacing="1" w:line="360" w:lineRule="auto"/>
        <w:jc w:val="both"/>
        <w:rPr>
          <w:rFonts w:ascii="Calibri" w:eastAsia="Times New Roman" w:hAnsi="Calibri" w:cs="Calibri"/>
          <w:bCs/>
          <w:sz w:val="20"/>
          <w:szCs w:val="20"/>
        </w:rPr>
      </w:pPr>
      <w:r w:rsidRPr="0049676A">
        <w:rPr>
          <w:rFonts w:ascii="Calibri" w:eastAsia="Times New Roman" w:hAnsi="Calibri" w:cs="Calibri"/>
          <w:b/>
          <w:sz w:val="20"/>
          <w:szCs w:val="20"/>
        </w:rPr>
        <w:t xml:space="preserve">Hashbank </w:t>
      </w:r>
      <w:r w:rsidRPr="0049676A">
        <w:rPr>
          <w:rFonts w:ascii="Calibri" w:eastAsia="Times New Roman" w:hAnsi="Calibri" w:cs="Calibri"/>
          <w:bCs/>
          <w:sz w:val="20"/>
          <w:szCs w:val="20"/>
        </w:rPr>
        <w:t>is seeking proposals from qualified vendors for a Blockchain Analytics Tool to strengthen its compliance, risk management, and transaction monitoring capabilities within the digital asset ecosystem. The solution should enable end-to-end blockchain intelligence — including coverage of major blockchains and stablecoins, advanced transaction tracing, and comprehensive wallet risk analysis.</w:t>
      </w:r>
    </w:p>
    <w:p w14:paraId="197D270B" w14:textId="77777777" w:rsidR="008369C7" w:rsidRPr="0049676A" w:rsidRDefault="008369C7" w:rsidP="008369C7">
      <w:pPr>
        <w:spacing w:before="100" w:beforeAutospacing="1" w:after="100" w:afterAutospacing="1" w:line="360" w:lineRule="auto"/>
        <w:jc w:val="both"/>
        <w:rPr>
          <w:rFonts w:ascii="Calibri" w:eastAsia="Times New Roman" w:hAnsi="Calibri" w:cs="Calibri"/>
          <w:bCs/>
          <w:sz w:val="20"/>
          <w:szCs w:val="20"/>
        </w:rPr>
      </w:pPr>
      <w:r w:rsidRPr="0049676A">
        <w:rPr>
          <w:rFonts w:ascii="Calibri" w:eastAsia="Times New Roman" w:hAnsi="Calibri" w:cs="Calibri"/>
          <w:bCs/>
          <w:sz w:val="20"/>
          <w:szCs w:val="20"/>
        </w:rPr>
        <w:t>The objective is to enhance Hashbank’s ability to detect, assess, and mitigate financial crime risks such as money laundering, fraud, sanctions violations, and illicit blockchain activity. The platform should support AML/CFT compliance, integration with international sanctions lists, and readiness for FATF Travel Rule implementation in Georgia by 2027.</w:t>
      </w:r>
    </w:p>
    <w:p w14:paraId="7FDC28EE" w14:textId="274942E3" w:rsidR="008369C7" w:rsidRPr="0049676A" w:rsidRDefault="008369C7" w:rsidP="00B32C6A">
      <w:pPr>
        <w:spacing w:before="100" w:beforeAutospacing="1" w:after="100" w:afterAutospacing="1" w:line="360" w:lineRule="auto"/>
        <w:jc w:val="both"/>
        <w:rPr>
          <w:rFonts w:ascii="Calibri" w:eastAsia="Times New Roman" w:hAnsi="Calibri" w:cs="Calibri"/>
          <w:bCs/>
          <w:sz w:val="20"/>
          <w:szCs w:val="20"/>
        </w:rPr>
      </w:pPr>
      <w:r w:rsidRPr="0049676A">
        <w:rPr>
          <w:rFonts w:ascii="Calibri" w:eastAsia="Times New Roman" w:hAnsi="Calibri" w:cs="Calibri"/>
          <w:bCs/>
          <w:sz w:val="20"/>
          <w:szCs w:val="20"/>
        </w:rPr>
        <w:t>The requested solution must provide robust data security, flexible deployment options, and seamless integration with existing compliance and core banking systems. Vendors should demonstrate strong blockchain coverage, accurate risk detection, and scalable analytics capabilities to support both regulatory reporting and internal investigations.</w:t>
      </w:r>
    </w:p>
    <w:p w14:paraId="1E398B5E" w14:textId="77777777" w:rsidR="00B208B9" w:rsidRPr="0049676A" w:rsidRDefault="00B208B9" w:rsidP="00B32C6A">
      <w:pPr>
        <w:spacing w:before="100" w:beforeAutospacing="1" w:after="100" w:afterAutospacing="1" w:line="360" w:lineRule="auto"/>
        <w:jc w:val="both"/>
        <w:rPr>
          <w:rFonts w:ascii="Calibri" w:hAnsi="Calibri" w:cs="Calibri"/>
          <w:sz w:val="20"/>
          <w:szCs w:val="20"/>
        </w:rPr>
      </w:pPr>
      <w:r w:rsidRPr="0049676A">
        <w:rPr>
          <w:rFonts w:ascii="Calibri" w:hAnsi="Calibri" w:cs="Calibri"/>
          <w:sz w:val="20"/>
          <w:szCs w:val="20"/>
        </w:rPr>
        <w:t xml:space="preserve">The purpose of this document is to inform the bidders about the purchaser's requirements and conditions for the submission of a complete tender proposal. </w:t>
      </w:r>
    </w:p>
    <w:p w14:paraId="59C510D2" w14:textId="77777777" w:rsidR="00B208B9" w:rsidRPr="0049676A" w:rsidRDefault="00B208B9" w:rsidP="00B32C6A">
      <w:pPr>
        <w:spacing w:before="100" w:beforeAutospacing="1" w:after="100" w:afterAutospacing="1" w:line="360" w:lineRule="auto"/>
        <w:jc w:val="both"/>
        <w:rPr>
          <w:rFonts w:ascii="Calibri" w:hAnsi="Calibri" w:cs="Calibri"/>
          <w:sz w:val="20"/>
          <w:szCs w:val="20"/>
        </w:rPr>
      </w:pPr>
      <w:r w:rsidRPr="0049676A">
        <w:rPr>
          <w:rFonts w:ascii="Calibri" w:hAnsi="Calibri" w:cs="Calibri"/>
          <w:sz w:val="20"/>
          <w:szCs w:val="20"/>
        </w:rPr>
        <w:t>Tender Process Timeline</w:t>
      </w:r>
    </w:p>
    <w:p w14:paraId="79DADB63" w14:textId="28498E71" w:rsidR="00B208B9" w:rsidRPr="0049676A" w:rsidRDefault="00B208B9" w:rsidP="00B32C6A">
      <w:pPr>
        <w:spacing w:before="100" w:beforeAutospacing="1" w:after="100" w:afterAutospacing="1" w:line="360" w:lineRule="auto"/>
        <w:jc w:val="both"/>
        <w:rPr>
          <w:rFonts w:ascii="Calibri" w:hAnsi="Calibri" w:cs="Calibri"/>
          <w:sz w:val="20"/>
          <w:szCs w:val="20"/>
          <w:lang w:val="ka-GE"/>
        </w:rPr>
      </w:pPr>
      <w:r w:rsidRPr="0049676A">
        <w:rPr>
          <w:rFonts w:ascii="Calibri" w:hAnsi="Calibri" w:cs="Calibri"/>
          <w:sz w:val="20"/>
          <w:szCs w:val="20"/>
        </w:rPr>
        <w:t xml:space="preserve">Tender Announcement: ............................................................ </w:t>
      </w:r>
      <w:r w:rsidR="008369C7" w:rsidRPr="0049676A">
        <w:rPr>
          <w:rFonts w:ascii="Calibri" w:hAnsi="Calibri" w:cs="Calibri"/>
          <w:color w:val="EE0000"/>
          <w:sz w:val="20"/>
          <w:szCs w:val="20"/>
        </w:rPr>
        <w:t xml:space="preserve">November </w:t>
      </w:r>
      <w:r w:rsidR="0049676A" w:rsidRPr="0049676A">
        <w:rPr>
          <w:rFonts w:ascii="Calibri" w:hAnsi="Calibri" w:cs="Calibri"/>
          <w:color w:val="EE0000"/>
          <w:sz w:val="20"/>
          <w:szCs w:val="20"/>
        </w:rPr>
        <w:t>10</w:t>
      </w:r>
      <w:r w:rsidRPr="0049676A">
        <w:rPr>
          <w:rFonts w:ascii="Calibri" w:hAnsi="Calibri" w:cs="Calibri"/>
          <w:color w:val="EE0000"/>
          <w:sz w:val="20"/>
          <w:szCs w:val="20"/>
        </w:rPr>
        <w:t xml:space="preserve">, 2025 </w:t>
      </w:r>
    </w:p>
    <w:p w14:paraId="38BB93ED" w14:textId="57F407A2" w:rsidR="00B208B9" w:rsidRPr="0049676A" w:rsidRDefault="00B208B9" w:rsidP="00B32C6A">
      <w:pPr>
        <w:spacing w:before="100" w:beforeAutospacing="1" w:after="100" w:afterAutospacing="1" w:line="360" w:lineRule="auto"/>
        <w:jc w:val="both"/>
        <w:rPr>
          <w:rFonts w:ascii="Calibri" w:hAnsi="Calibri" w:cs="Calibri"/>
          <w:sz w:val="20"/>
          <w:szCs w:val="20"/>
          <w:lang w:val="ka-GE"/>
        </w:rPr>
      </w:pPr>
      <w:r w:rsidRPr="0049676A">
        <w:rPr>
          <w:rFonts w:ascii="Calibri" w:hAnsi="Calibri" w:cs="Calibri"/>
          <w:sz w:val="20"/>
          <w:szCs w:val="20"/>
        </w:rPr>
        <w:t xml:space="preserve">Submission Deadline for Proposals: .................................... </w:t>
      </w:r>
      <w:r w:rsidR="0049676A" w:rsidRPr="0049676A">
        <w:rPr>
          <w:rFonts w:ascii="Calibri" w:hAnsi="Calibri" w:cs="Calibri"/>
          <w:color w:val="EE0000"/>
          <w:sz w:val="20"/>
          <w:szCs w:val="20"/>
        </w:rPr>
        <w:t xml:space="preserve">November </w:t>
      </w:r>
      <w:r w:rsidR="0049676A" w:rsidRPr="0049676A">
        <w:rPr>
          <w:rFonts w:ascii="Calibri" w:hAnsi="Calibri" w:cs="Calibri"/>
          <w:color w:val="EE0000"/>
          <w:sz w:val="20"/>
          <w:szCs w:val="20"/>
        </w:rPr>
        <w:t>24</w:t>
      </w:r>
      <w:r w:rsidRPr="0049676A">
        <w:rPr>
          <w:rFonts w:ascii="Calibri" w:hAnsi="Calibri" w:cs="Calibri"/>
          <w:color w:val="EE0000"/>
          <w:sz w:val="20"/>
          <w:szCs w:val="20"/>
        </w:rPr>
        <w:t>, 2025</w:t>
      </w:r>
    </w:p>
    <w:p w14:paraId="59CEC5DB" w14:textId="77777777" w:rsidR="00B208B9" w:rsidRPr="0049676A" w:rsidRDefault="00B208B9" w:rsidP="00B32C6A">
      <w:pPr>
        <w:spacing w:before="100" w:beforeAutospacing="1" w:after="100" w:afterAutospacing="1" w:line="360" w:lineRule="auto"/>
        <w:jc w:val="both"/>
        <w:rPr>
          <w:rFonts w:ascii="Calibri" w:hAnsi="Calibri" w:cs="Calibri"/>
          <w:sz w:val="20"/>
          <w:szCs w:val="20"/>
        </w:rPr>
      </w:pPr>
      <w:r w:rsidRPr="0049676A">
        <w:rPr>
          <w:rFonts w:ascii="Calibri" w:hAnsi="Calibri" w:cs="Calibri"/>
          <w:sz w:val="20"/>
          <w:szCs w:val="20"/>
        </w:rPr>
        <w:t xml:space="preserve"> The purchaser reserves the right to suspend, terminate, and/or announce a new tender at any stage of the process, at its sole discretion and without prior notice or agreement with the bidder(s). </w:t>
      </w:r>
    </w:p>
    <w:p w14:paraId="681B4402" w14:textId="77777777" w:rsidR="00B208B9" w:rsidRPr="0049676A" w:rsidRDefault="00B208B9" w:rsidP="00B32C6A">
      <w:pPr>
        <w:spacing w:before="100" w:beforeAutospacing="1" w:after="100" w:afterAutospacing="1" w:line="360" w:lineRule="auto"/>
        <w:jc w:val="both"/>
        <w:rPr>
          <w:rFonts w:ascii="Calibri" w:hAnsi="Calibri" w:cs="Calibri"/>
          <w:sz w:val="20"/>
          <w:szCs w:val="20"/>
        </w:rPr>
      </w:pPr>
      <w:r w:rsidRPr="0049676A">
        <w:rPr>
          <w:rFonts w:ascii="Calibri" w:hAnsi="Calibri" w:cs="Calibri"/>
          <w:sz w:val="20"/>
          <w:szCs w:val="20"/>
        </w:rPr>
        <w:t xml:space="preserve">Information regarding the suspension or termination of the tender will be made available on the tender announcement portal. </w:t>
      </w:r>
    </w:p>
    <w:p w14:paraId="4813B6EF" w14:textId="6FAD7AA9" w:rsidR="00426BAA" w:rsidRPr="0049676A" w:rsidRDefault="00B208B9" w:rsidP="00B32C6A">
      <w:pPr>
        <w:spacing w:before="100" w:beforeAutospacing="1" w:after="100" w:afterAutospacing="1" w:line="360" w:lineRule="auto"/>
        <w:jc w:val="both"/>
        <w:rPr>
          <w:rFonts w:ascii="Calibri" w:eastAsia="Times New Roman" w:hAnsi="Calibri" w:cs="Calibri"/>
          <w:sz w:val="20"/>
          <w:szCs w:val="20"/>
          <w:lang w:val="ka-GE"/>
        </w:rPr>
      </w:pPr>
      <w:r w:rsidRPr="0049676A">
        <w:rPr>
          <w:rFonts w:ascii="Calibri" w:hAnsi="Calibri" w:cs="Calibri"/>
          <w:sz w:val="20"/>
          <w:szCs w:val="20"/>
        </w:rPr>
        <w:t>The purchaser also reserves the right to amend or expand the scope of services/procurement requirements prior to signing the contract with the selected bidder. Any such changes will be published on the tender announcement portal.</w:t>
      </w:r>
    </w:p>
    <w:p w14:paraId="375DD926" w14:textId="77777777" w:rsidR="00457ECE" w:rsidRPr="0049676A" w:rsidRDefault="00457ECE" w:rsidP="00B32C6A">
      <w:pPr>
        <w:spacing w:before="100" w:beforeAutospacing="1" w:after="100" w:afterAutospacing="1" w:line="360" w:lineRule="auto"/>
        <w:outlineLvl w:val="1"/>
        <w:rPr>
          <w:rFonts w:ascii="Calibri" w:eastAsia="Times New Roman" w:hAnsi="Calibri" w:cs="Calibri"/>
          <w:b/>
          <w:bCs/>
          <w:sz w:val="20"/>
          <w:szCs w:val="20"/>
        </w:rPr>
      </w:pPr>
      <w:bookmarkStart w:id="3" w:name="_Toc192693602"/>
      <w:bookmarkStart w:id="4" w:name="_Toc213152055"/>
      <w:r w:rsidRPr="0049676A">
        <w:rPr>
          <w:rFonts w:ascii="Calibri" w:eastAsia="Times New Roman" w:hAnsi="Calibri" w:cs="Calibri"/>
          <w:b/>
          <w:bCs/>
          <w:sz w:val="20"/>
          <w:szCs w:val="20"/>
        </w:rPr>
        <w:t>2. Scope of Work</w:t>
      </w:r>
      <w:bookmarkEnd w:id="3"/>
      <w:bookmarkEnd w:id="4"/>
    </w:p>
    <w:p w14:paraId="33BE83A5" w14:textId="77777777" w:rsidR="00800E7B" w:rsidRPr="0049676A" w:rsidRDefault="00800E7B" w:rsidP="00800E7B">
      <w:pPr>
        <w:pStyle w:val="NormalWeb"/>
        <w:rPr>
          <w:rFonts w:ascii="Calibri" w:hAnsi="Calibri" w:cs="Calibri"/>
        </w:rPr>
      </w:pPr>
      <w:r w:rsidRPr="0049676A">
        <w:rPr>
          <w:rFonts w:ascii="Calibri" w:hAnsi="Calibri" w:cs="Calibri"/>
        </w:rPr>
        <w:t>The proposed solution should include, but not be limited to, the following capabilities:</w:t>
      </w:r>
    </w:p>
    <w:p w14:paraId="2ECD113B" w14:textId="77777777" w:rsidR="00800E7B" w:rsidRPr="0049676A" w:rsidRDefault="00800E7B" w:rsidP="00800E7B">
      <w:pPr>
        <w:spacing w:before="100" w:beforeAutospacing="1" w:after="100" w:afterAutospacing="1" w:line="360" w:lineRule="auto"/>
        <w:outlineLvl w:val="2"/>
        <w:rPr>
          <w:rFonts w:ascii="Calibri" w:eastAsia="Times New Roman" w:hAnsi="Calibri" w:cs="Calibri"/>
          <w:b/>
          <w:bCs/>
          <w:sz w:val="20"/>
          <w:szCs w:val="20"/>
        </w:rPr>
      </w:pPr>
      <w:bookmarkStart w:id="5" w:name="_Toc213152056"/>
      <w:r w:rsidRPr="0049676A">
        <w:rPr>
          <w:rFonts w:ascii="Calibri" w:eastAsia="Times New Roman" w:hAnsi="Calibri" w:cs="Calibri"/>
          <w:b/>
          <w:bCs/>
          <w:sz w:val="20"/>
          <w:szCs w:val="20"/>
        </w:rPr>
        <w:t>2.1 Blockchain Coverage &amp; Monitoring</w:t>
      </w:r>
      <w:bookmarkEnd w:id="5"/>
    </w:p>
    <w:p w14:paraId="54DC083A"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lastRenderedPageBreak/>
        <w:t>Comprehensive coverage of major blockchains (e.g., BTC, ETH, Tron, and Layer 2 protocols)</w:t>
      </w:r>
    </w:p>
    <w:p w14:paraId="31051B7C"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Monitoring and analysis of transactions across multiple networks, including stablecoins (USDT, USDC, etc.)</w:t>
      </w:r>
    </w:p>
    <w:p w14:paraId="044939FB"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Detection and visualization of cross-chain movements and smart contract interactions</w:t>
      </w:r>
    </w:p>
    <w:p w14:paraId="6C6877C0"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Real-time transaction tracking with address clustering and entity attribution</w:t>
      </w:r>
    </w:p>
    <w:p w14:paraId="0C1AD86F" w14:textId="34884FC1"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Ongoing updates to include emerging chains and assets</w:t>
      </w:r>
    </w:p>
    <w:p w14:paraId="7CEDBF30" w14:textId="77777777" w:rsidR="00800E7B" w:rsidRPr="0049676A" w:rsidRDefault="00800E7B" w:rsidP="00800E7B">
      <w:pPr>
        <w:spacing w:before="100" w:beforeAutospacing="1" w:after="100" w:afterAutospacing="1" w:line="360" w:lineRule="auto"/>
        <w:outlineLvl w:val="2"/>
        <w:rPr>
          <w:rFonts w:ascii="Calibri" w:eastAsia="Times New Roman" w:hAnsi="Calibri" w:cs="Calibri"/>
          <w:b/>
          <w:bCs/>
          <w:sz w:val="20"/>
          <w:szCs w:val="20"/>
        </w:rPr>
      </w:pPr>
      <w:bookmarkStart w:id="6" w:name="_Toc213152057"/>
      <w:r w:rsidRPr="0049676A">
        <w:rPr>
          <w:rFonts w:ascii="Calibri" w:eastAsia="Times New Roman" w:hAnsi="Calibri" w:cs="Calibri"/>
          <w:b/>
          <w:bCs/>
          <w:sz w:val="20"/>
          <w:szCs w:val="20"/>
        </w:rPr>
        <w:t>2.2 Compliance &amp; Sanctions Screening</w:t>
      </w:r>
      <w:bookmarkEnd w:id="6"/>
    </w:p>
    <w:p w14:paraId="04BC0A4C"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Automated integration with OFAC, EU, UN, and UK sanctions lists</w:t>
      </w:r>
    </w:p>
    <w:p w14:paraId="34AAEB34"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Frequent updates to sanctions and high-risk entity databases</w:t>
      </w:r>
    </w:p>
    <w:p w14:paraId="3399E028"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Identification of wallet exposure to sanctioned or blacklisted entities</w:t>
      </w:r>
    </w:p>
    <w:p w14:paraId="30304C33"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Readiness for FATF Travel Rule compliance, including local regulatory adaptation for Georgia by 2027</w:t>
      </w:r>
    </w:p>
    <w:p w14:paraId="47CC7C5D" w14:textId="465B1B3A"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Automated flagging of potential AML/CFT violations</w:t>
      </w:r>
    </w:p>
    <w:p w14:paraId="0ACBD33B" w14:textId="77777777" w:rsidR="00800E7B" w:rsidRPr="0049676A" w:rsidRDefault="00800E7B" w:rsidP="00800E7B">
      <w:pPr>
        <w:spacing w:before="100" w:beforeAutospacing="1" w:after="100" w:afterAutospacing="1" w:line="360" w:lineRule="auto"/>
        <w:outlineLvl w:val="2"/>
        <w:rPr>
          <w:rFonts w:ascii="Calibri" w:eastAsia="Times New Roman" w:hAnsi="Calibri" w:cs="Calibri"/>
          <w:b/>
          <w:bCs/>
          <w:sz w:val="20"/>
          <w:szCs w:val="20"/>
        </w:rPr>
      </w:pPr>
      <w:bookmarkStart w:id="7" w:name="_Toc213152058"/>
      <w:r w:rsidRPr="0049676A">
        <w:rPr>
          <w:rFonts w:ascii="Calibri" w:eastAsia="Times New Roman" w:hAnsi="Calibri" w:cs="Calibri"/>
          <w:b/>
          <w:bCs/>
          <w:sz w:val="20"/>
          <w:szCs w:val="20"/>
        </w:rPr>
        <w:t>2.3 Risk Detection &amp; Analytics</w:t>
      </w:r>
      <w:bookmarkEnd w:id="7"/>
    </w:p>
    <w:p w14:paraId="2C538B63"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Detection of transactions involving mixers, tumblers, or anonymizing tools</w:t>
      </w:r>
    </w:p>
    <w:p w14:paraId="65FFF7CB"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Wallet and transaction risk scoring based on behavioral and network analysis</w:t>
      </w:r>
    </w:p>
    <w:p w14:paraId="43C9DE1C"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Identification of darknet exposure, ransomware activity, or high-risk patterns</w:t>
      </w:r>
    </w:p>
    <w:p w14:paraId="4BD211B9"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Machine learning–based anomaly detection for suspicious activity</w:t>
      </w:r>
    </w:p>
    <w:p w14:paraId="487330EF" w14:textId="4AA8E124"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Advanced visual analytics for tracing illicit transaction flows</w:t>
      </w:r>
    </w:p>
    <w:p w14:paraId="06292B00" w14:textId="77777777" w:rsidR="00800E7B" w:rsidRPr="0049676A" w:rsidRDefault="00800E7B" w:rsidP="00800E7B">
      <w:pPr>
        <w:spacing w:before="100" w:beforeAutospacing="1" w:after="100" w:afterAutospacing="1" w:line="360" w:lineRule="auto"/>
        <w:outlineLvl w:val="2"/>
        <w:rPr>
          <w:rFonts w:ascii="Calibri" w:hAnsi="Calibri" w:cs="Calibri"/>
          <w:b/>
          <w:bCs/>
        </w:rPr>
      </w:pPr>
      <w:bookmarkStart w:id="8" w:name="_Toc213152059"/>
      <w:r w:rsidRPr="0049676A">
        <w:rPr>
          <w:rFonts w:ascii="Calibri" w:eastAsia="Times New Roman" w:hAnsi="Calibri" w:cs="Calibri"/>
          <w:b/>
          <w:bCs/>
          <w:sz w:val="20"/>
          <w:szCs w:val="20"/>
        </w:rPr>
        <w:t>2.4 Data Security &amp; Residency</w:t>
      </w:r>
      <w:bookmarkEnd w:id="8"/>
    </w:p>
    <w:p w14:paraId="5A6E2D63"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Data storage options with configurable residency to comply with local regulations</w:t>
      </w:r>
    </w:p>
    <w:p w14:paraId="68DE3507"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End-to-end encryption of customer and transaction data</w:t>
      </w:r>
    </w:p>
    <w:p w14:paraId="4F666A56"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Clear data retention and deletion policies in line with regulatory standards</w:t>
      </w:r>
    </w:p>
    <w:p w14:paraId="7463613C" w14:textId="5CDE18B3"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Comprehensive audit trails and immutable logging mechanisms</w:t>
      </w:r>
    </w:p>
    <w:p w14:paraId="23962A84" w14:textId="77777777" w:rsidR="00800E7B" w:rsidRPr="0049676A" w:rsidRDefault="00800E7B" w:rsidP="00800E7B">
      <w:pPr>
        <w:spacing w:before="100" w:beforeAutospacing="1" w:after="100" w:afterAutospacing="1" w:line="360" w:lineRule="auto"/>
        <w:outlineLvl w:val="2"/>
        <w:rPr>
          <w:rFonts w:ascii="Calibri" w:eastAsia="Times New Roman" w:hAnsi="Calibri" w:cs="Calibri"/>
          <w:b/>
          <w:bCs/>
          <w:sz w:val="20"/>
          <w:szCs w:val="20"/>
        </w:rPr>
      </w:pPr>
      <w:bookmarkStart w:id="9" w:name="_Toc213152060"/>
      <w:r w:rsidRPr="0049676A">
        <w:rPr>
          <w:rFonts w:ascii="Calibri" w:eastAsia="Times New Roman" w:hAnsi="Calibri" w:cs="Calibri"/>
          <w:b/>
          <w:bCs/>
          <w:sz w:val="20"/>
          <w:szCs w:val="20"/>
        </w:rPr>
        <w:t>2.5 Integrations &amp; Reporting</w:t>
      </w:r>
      <w:bookmarkEnd w:id="9"/>
    </w:p>
    <w:p w14:paraId="27DD6E33"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API-based integration with existing compliance, AML, and core banking systems</w:t>
      </w:r>
    </w:p>
    <w:p w14:paraId="7E16E2E3"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User-friendly dashboard for investigators and compliance officers</w:t>
      </w:r>
    </w:p>
    <w:p w14:paraId="67A0149B"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Customizable reporting templates for regulators and internal teams</w:t>
      </w:r>
    </w:p>
    <w:p w14:paraId="74C80CBF"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Automated alerts and audit logs for suspicious or high-risk activity</w:t>
      </w:r>
    </w:p>
    <w:p w14:paraId="52E9DD33" w14:textId="235AFDD1"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Periodic data refresh and synchronization with real-time blockchain updates</w:t>
      </w:r>
    </w:p>
    <w:p w14:paraId="70D7BFCC" w14:textId="77777777" w:rsidR="00800E7B" w:rsidRPr="0049676A" w:rsidRDefault="00800E7B" w:rsidP="00800E7B">
      <w:pPr>
        <w:spacing w:before="100" w:beforeAutospacing="1" w:after="100" w:afterAutospacing="1" w:line="360" w:lineRule="auto"/>
        <w:outlineLvl w:val="2"/>
        <w:rPr>
          <w:rFonts w:ascii="Calibri" w:eastAsia="Times New Roman" w:hAnsi="Calibri" w:cs="Calibri"/>
          <w:b/>
          <w:bCs/>
          <w:sz w:val="20"/>
          <w:szCs w:val="20"/>
        </w:rPr>
      </w:pPr>
      <w:bookmarkStart w:id="10" w:name="_Toc213152061"/>
      <w:r w:rsidRPr="0049676A">
        <w:rPr>
          <w:rFonts w:ascii="Calibri" w:eastAsia="Times New Roman" w:hAnsi="Calibri" w:cs="Calibri"/>
          <w:b/>
          <w:bCs/>
          <w:sz w:val="20"/>
          <w:szCs w:val="20"/>
        </w:rPr>
        <w:t>2.6 Deployment &amp; Scalability</w:t>
      </w:r>
      <w:bookmarkEnd w:id="10"/>
    </w:p>
    <w:p w14:paraId="741A9C6E"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lastRenderedPageBreak/>
        <w:t>Support for both cloud-based and on-premises deployment</w:t>
      </w:r>
    </w:p>
    <w:p w14:paraId="433C7C21"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High scalability to handle large transaction volumes and multiple blockchains</w:t>
      </w:r>
    </w:p>
    <w:p w14:paraId="32D17528" w14:textId="77777777" w:rsidR="00800E7B" w:rsidRPr="0049676A" w:rsidRDefault="00800E7B" w:rsidP="00800E7B">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Flexible architecture supporting multi-user access and role-based permissions</w:t>
      </w:r>
    </w:p>
    <w:p w14:paraId="5195A50C" w14:textId="48F99D35" w:rsidR="003E51DA" w:rsidRPr="0049676A" w:rsidRDefault="00800E7B"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Secure authentication and access control mechanisms</w:t>
      </w:r>
    </w:p>
    <w:p w14:paraId="05B517A9" w14:textId="77777777" w:rsidR="003E51DA" w:rsidRPr="0049676A" w:rsidRDefault="003E51DA" w:rsidP="003E51DA">
      <w:pPr>
        <w:spacing w:before="100" w:beforeAutospacing="1" w:after="100" w:afterAutospacing="1" w:line="360" w:lineRule="auto"/>
        <w:outlineLvl w:val="1"/>
        <w:rPr>
          <w:rFonts w:ascii="Calibri" w:eastAsia="Times New Roman" w:hAnsi="Calibri" w:cs="Calibri"/>
          <w:b/>
          <w:bCs/>
          <w:sz w:val="20"/>
          <w:szCs w:val="20"/>
        </w:rPr>
      </w:pPr>
      <w:bookmarkStart w:id="11" w:name="_Toc213152062"/>
      <w:r w:rsidRPr="0049676A">
        <w:rPr>
          <w:rFonts w:ascii="Calibri" w:eastAsia="Times New Roman" w:hAnsi="Calibri" w:cs="Calibri"/>
          <w:b/>
          <w:bCs/>
          <w:sz w:val="20"/>
          <w:szCs w:val="20"/>
        </w:rPr>
        <w:t>3. Vendor Requirements</w:t>
      </w:r>
      <w:bookmarkEnd w:id="11"/>
    </w:p>
    <w:p w14:paraId="0F5954C3" w14:textId="77777777" w:rsidR="003E51DA" w:rsidRPr="0049676A" w:rsidRDefault="003E51DA" w:rsidP="003E51DA">
      <w:pPr>
        <w:pStyle w:val="NormalWeb"/>
        <w:rPr>
          <w:rFonts w:ascii="Calibri" w:hAnsi="Calibri" w:cs="Calibri"/>
          <w:sz w:val="22"/>
          <w:szCs w:val="22"/>
        </w:rPr>
      </w:pPr>
      <w:r w:rsidRPr="0049676A">
        <w:rPr>
          <w:rFonts w:ascii="Calibri" w:hAnsi="Calibri" w:cs="Calibri"/>
          <w:sz w:val="22"/>
          <w:szCs w:val="22"/>
        </w:rPr>
        <w:t>Interested vendors must meet the following qualifications:</w:t>
      </w:r>
    </w:p>
    <w:p w14:paraId="545F0036"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Proven experience in delivering blockchain analytics and AML/CFT compliance solutions to financial institutions or regulatory bodies</w:t>
      </w:r>
    </w:p>
    <w:p w14:paraId="5B7BA461"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Demonstrated expertise in blockchain forensics, transaction tracing, and on-chain data analysis</w:t>
      </w:r>
    </w:p>
    <w:p w14:paraId="4871B5D0"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Compliance with international standards and regulations, including FATF, GDPR, Basel III, and applicable data protection laws</w:t>
      </w:r>
    </w:p>
    <w:p w14:paraId="083FEB24"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Ability to provide ongoing technical support, software maintenance, and regular updates reflecting evolving blockchain ecosystems and regulatory changes</w:t>
      </w:r>
    </w:p>
    <w:p w14:paraId="745C03A5"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Established data security framework and proven capability to ensure data confidentiality, integrity, and availability</w:t>
      </w:r>
    </w:p>
    <w:p w14:paraId="240B5F14"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Availability of referenceable clients (preferably in the banking, fintech, or government sectors)</w:t>
      </w:r>
    </w:p>
    <w:p w14:paraId="6A71DF5D" w14:textId="77777777" w:rsidR="003E51D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Capacity to deliver training and knowledge transfer sessions for compliance and risk management teams</w:t>
      </w:r>
    </w:p>
    <w:p w14:paraId="7CA759EB" w14:textId="019BA067" w:rsidR="00426BAA" w:rsidRPr="0049676A" w:rsidRDefault="003E51DA" w:rsidP="003E51DA">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Strong localization readiness, including regional regulatory awareness and support for future FATF Travel Rule implementation in Georgia</w:t>
      </w:r>
    </w:p>
    <w:p w14:paraId="3B3191AB" w14:textId="77777777" w:rsidR="00457ECE" w:rsidRPr="0049676A" w:rsidRDefault="00457ECE" w:rsidP="00B32C6A">
      <w:pPr>
        <w:spacing w:before="100" w:beforeAutospacing="1" w:after="100" w:afterAutospacing="1" w:line="360" w:lineRule="auto"/>
        <w:outlineLvl w:val="1"/>
        <w:rPr>
          <w:rFonts w:ascii="Calibri" w:eastAsia="Times New Roman" w:hAnsi="Calibri" w:cs="Calibri"/>
          <w:b/>
          <w:bCs/>
          <w:sz w:val="20"/>
          <w:szCs w:val="20"/>
        </w:rPr>
      </w:pPr>
      <w:bookmarkStart w:id="12" w:name="_Toc192693609"/>
      <w:bookmarkStart w:id="13" w:name="_Toc213152063"/>
      <w:r w:rsidRPr="0049676A">
        <w:rPr>
          <w:rFonts w:ascii="Calibri" w:eastAsia="Times New Roman" w:hAnsi="Calibri" w:cs="Calibri"/>
          <w:b/>
          <w:bCs/>
          <w:sz w:val="20"/>
          <w:szCs w:val="20"/>
        </w:rPr>
        <w:t>4. Proposal Submission Requirements</w:t>
      </w:r>
      <w:bookmarkEnd w:id="12"/>
      <w:bookmarkEnd w:id="13"/>
    </w:p>
    <w:p w14:paraId="0511807B" w14:textId="0385D9B9" w:rsidR="000A395C" w:rsidRPr="0049676A" w:rsidRDefault="00457ECE" w:rsidP="00B32C6A">
      <w:p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Vendors should submit a comprehensive proposal including:</w:t>
      </w:r>
    </w:p>
    <w:p w14:paraId="6FE873BA" w14:textId="106CA2CF" w:rsidR="00457ECE" w:rsidRPr="0049676A" w:rsidRDefault="00520B07" w:rsidP="00B32C6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General Information (Annex #1)</w:t>
      </w:r>
    </w:p>
    <w:p w14:paraId="1ADDDF7E" w14:textId="6ADF7EAB" w:rsidR="00520B07" w:rsidRPr="0049676A" w:rsidRDefault="00520B07" w:rsidP="003E51D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Company Profile</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 xml:space="preserve">- </w:t>
      </w:r>
      <w:r w:rsidRPr="0049676A">
        <w:rPr>
          <w:rFonts w:ascii="Calibri" w:eastAsia="Times New Roman" w:hAnsi="Calibri" w:cs="Calibri"/>
          <w:sz w:val="20"/>
          <w:szCs w:val="20"/>
        </w:rPr>
        <w:t>Background, financial stability, and expertise.</w:t>
      </w:r>
    </w:p>
    <w:p w14:paraId="43AC8A4D" w14:textId="20622B76" w:rsidR="00457ECE" w:rsidRPr="0049676A" w:rsidRDefault="00457ECE" w:rsidP="00B32C6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Solution Overview</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 xml:space="preserve">- </w:t>
      </w:r>
      <w:r w:rsidR="005C1E80" w:rsidRPr="0049676A">
        <w:rPr>
          <w:rFonts w:ascii="Calibri" w:hAnsi="Calibri" w:cs="Calibri"/>
        </w:rPr>
        <w:t>Detailed description of platform features, blockchain coverage, risk detection capabilities, technology stack, and deployment architecture.</w:t>
      </w:r>
    </w:p>
    <w:p w14:paraId="4D427CD2" w14:textId="345F09F1" w:rsidR="00457ECE" w:rsidRPr="0049676A" w:rsidRDefault="00457ECE" w:rsidP="00B32C6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Implementation Plan</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 xml:space="preserve">- </w:t>
      </w:r>
      <w:r w:rsidR="005C1E80" w:rsidRPr="0049676A">
        <w:rPr>
          <w:rFonts w:ascii="Calibri" w:hAnsi="Calibri" w:cs="Calibri"/>
        </w:rPr>
        <w:t>Deployment timeline, milestones, integration approach, and resource requirements.</w:t>
      </w:r>
    </w:p>
    <w:p w14:paraId="0ABB5DC2" w14:textId="480FEA5F" w:rsidR="00457ECE" w:rsidRPr="0049676A" w:rsidRDefault="00457ECE" w:rsidP="00B32C6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Security &amp; Compliance</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 xml:space="preserve">- </w:t>
      </w:r>
      <w:r w:rsidR="005C1E80" w:rsidRPr="0049676A">
        <w:rPr>
          <w:rFonts w:ascii="Calibri" w:hAnsi="Calibri" w:cs="Calibri"/>
        </w:rPr>
        <w:t>Data protection measures, encryption standards, access controls, compliance with FATF, GDPR, and other relevant regulations.</w:t>
      </w:r>
    </w:p>
    <w:p w14:paraId="51088A4E" w14:textId="0DAA228C" w:rsidR="00457ECE" w:rsidRPr="0049676A" w:rsidRDefault="00457ECE" w:rsidP="00B32C6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Support &amp; Maintenance</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w:t>
      </w:r>
      <w:r w:rsidRPr="0049676A">
        <w:rPr>
          <w:rFonts w:ascii="Calibri" w:eastAsia="Times New Roman" w:hAnsi="Calibri" w:cs="Calibri"/>
          <w:sz w:val="20"/>
          <w:szCs w:val="20"/>
        </w:rPr>
        <w:t xml:space="preserve"> </w:t>
      </w:r>
      <w:r w:rsidR="005C1E80" w:rsidRPr="0049676A">
        <w:rPr>
          <w:rFonts w:ascii="Calibri" w:hAnsi="Calibri" w:cs="Calibri"/>
        </w:rPr>
        <w:t>Post-implementation support plans, including updates, technical assistance, and training programs.</w:t>
      </w:r>
    </w:p>
    <w:p w14:paraId="4FAEC054" w14:textId="6B7309F9" w:rsidR="00457ECE" w:rsidRPr="0049676A" w:rsidRDefault="00457ECE" w:rsidP="00B32C6A">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lastRenderedPageBreak/>
        <w:t>Pricing</w:t>
      </w:r>
      <w:r w:rsidRPr="0049676A">
        <w:rPr>
          <w:rFonts w:ascii="Calibri" w:eastAsia="Times New Roman" w:hAnsi="Calibri" w:cs="Calibri"/>
          <w:sz w:val="20"/>
          <w:szCs w:val="20"/>
        </w:rPr>
        <w:t xml:space="preserve"> – Detailed breakdown of licensing, setup, and ongoing </w:t>
      </w:r>
      <w:r w:rsidR="00156808" w:rsidRPr="0049676A">
        <w:rPr>
          <w:rFonts w:ascii="Calibri" w:eastAsia="Times New Roman" w:hAnsi="Calibri" w:cs="Calibri"/>
          <w:sz w:val="20"/>
          <w:szCs w:val="20"/>
        </w:rPr>
        <w:t>costs</w:t>
      </w:r>
      <w:r w:rsidR="00156808" w:rsidRPr="0049676A">
        <w:rPr>
          <w:rFonts w:ascii="Calibri" w:eastAsia="Times New Roman" w:hAnsi="Calibri" w:cs="Calibri"/>
          <w:b/>
          <w:bCs/>
          <w:sz w:val="20"/>
          <w:szCs w:val="20"/>
        </w:rPr>
        <w:t>. (</w:t>
      </w:r>
      <w:r w:rsidR="00520B07" w:rsidRPr="0049676A">
        <w:rPr>
          <w:rFonts w:ascii="Calibri" w:eastAsia="Times New Roman" w:hAnsi="Calibri" w:cs="Calibri"/>
          <w:b/>
          <w:bCs/>
          <w:sz w:val="20"/>
          <w:szCs w:val="20"/>
        </w:rPr>
        <w:t>Annex #</w:t>
      </w:r>
      <w:r w:rsidR="007770C0" w:rsidRPr="0049676A">
        <w:rPr>
          <w:rFonts w:ascii="Calibri" w:eastAsia="Times New Roman" w:hAnsi="Calibri" w:cs="Calibri"/>
          <w:b/>
          <w:bCs/>
          <w:sz w:val="20"/>
          <w:szCs w:val="20"/>
          <w:lang w:val="ka-GE"/>
        </w:rPr>
        <w:t>2</w:t>
      </w:r>
      <w:r w:rsidR="00520B07" w:rsidRPr="0049676A">
        <w:rPr>
          <w:rFonts w:ascii="Calibri" w:eastAsia="Times New Roman" w:hAnsi="Calibri" w:cs="Calibri"/>
          <w:b/>
          <w:bCs/>
          <w:sz w:val="20"/>
          <w:szCs w:val="20"/>
        </w:rPr>
        <w:t>)</w:t>
      </w:r>
    </w:p>
    <w:p w14:paraId="11A739CC" w14:textId="32F501CB" w:rsidR="00426BAA" w:rsidRPr="0049676A" w:rsidRDefault="00457ECE" w:rsidP="005C1E80">
      <w:pPr>
        <w:numPr>
          <w:ilvl w:val="0"/>
          <w:numId w:val="6"/>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Client References</w:t>
      </w:r>
      <w:r w:rsidRPr="0049676A">
        <w:rPr>
          <w:rFonts w:ascii="Calibri" w:eastAsia="Times New Roman" w:hAnsi="Calibri" w:cs="Calibri"/>
          <w:sz w:val="20"/>
          <w:szCs w:val="20"/>
        </w:rPr>
        <w:t xml:space="preserve"> – At least three financial institutions using the solution.</w:t>
      </w:r>
    </w:p>
    <w:p w14:paraId="5761072C" w14:textId="77777777" w:rsidR="002B246E" w:rsidRPr="0049676A" w:rsidRDefault="00457ECE" w:rsidP="00B32C6A">
      <w:pPr>
        <w:spacing w:before="100" w:beforeAutospacing="1" w:after="100" w:afterAutospacing="1" w:line="360" w:lineRule="auto"/>
        <w:outlineLvl w:val="1"/>
        <w:rPr>
          <w:rFonts w:ascii="Calibri" w:eastAsia="Times New Roman" w:hAnsi="Calibri" w:cs="Calibri"/>
          <w:b/>
          <w:bCs/>
          <w:sz w:val="20"/>
          <w:szCs w:val="20"/>
        </w:rPr>
      </w:pPr>
      <w:bookmarkStart w:id="14" w:name="_Toc192693610"/>
      <w:bookmarkStart w:id="15" w:name="_Toc213152064"/>
      <w:r w:rsidRPr="0049676A">
        <w:rPr>
          <w:rFonts w:ascii="Calibri" w:eastAsia="Times New Roman" w:hAnsi="Calibri" w:cs="Calibri"/>
          <w:b/>
          <w:bCs/>
          <w:sz w:val="20"/>
          <w:szCs w:val="20"/>
        </w:rPr>
        <w:t>5. Evaluation Criteria</w:t>
      </w:r>
      <w:bookmarkEnd w:id="14"/>
      <w:bookmarkEnd w:id="15"/>
    </w:p>
    <w:p w14:paraId="405D0870" w14:textId="77777777" w:rsidR="00457ECE" w:rsidRPr="0049676A" w:rsidRDefault="00457ECE" w:rsidP="00B32C6A">
      <w:pPr>
        <w:spacing w:before="100" w:beforeAutospacing="1" w:after="100" w:afterAutospacing="1" w:line="360" w:lineRule="auto"/>
        <w:outlineLvl w:val="1"/>
        <w:rPr>
          <w:rFonts w:ascii="Calibri" w:eastAsia="Times New Roman" w:hAnsi="Calibri" w:cs="Calibri"/>
          <w:sz w:val="20"/>
          <w:szCs w:val="20"/>
        </w:rPr>
      </w:pPr>
      <w:bookmarkStart w:id="16" w:name="_Toc192693611"/>
      <w:bookmarkStart w:id="17" w:name="_Toc213152065"/>
      <w:r w:rsidRPr="0049676A">
        <w:rPr>
          <w:rFonts w:ascii="Calibri" w:eastAsia="Times New Roman" w:hAnsi="Calibri" w:cs="Calibri"/>
          <w:sz w:val="20"/>
          <w:szCs w:val="20"/>
        </w:rPr>
        <w:t>Proposals will be evaluated based on the following criteria:</w:t>
      </w:r>
      <w:bookmarkEnd w:id="16"/>
      <w:bookmarkEnd w:id="17"/>
    </w:p>
    <w:p w14:paraId="4C198847" w14:textId="62051B4E" w:rsidR="00457ECE" w:rsidRPr="0049676A" w:rsidRDefault="00457ECE" w:rsidP="00B32C6A">
      <w:pPr>
        <w:numPr>
          <w:ilvl w:val="0"/>
          <w:numId w:val="7"/>
        </w:numPr>
        <w:tabs>
          <w:tab w:val="clear" w:pos="720"/>
          <w:tab w:val="num" w:pos="810"/>
        </w:tabs>
        <w:spacing w:before="100" w:beforeAutospacing="1" w:after="100" w:afterAutospacing="1" w:line="360" w:lineRule="auto"/>
        <w:ind w:left="-180"/>
        <w:rPr>
          <w:rFonts w:ascii="Calibri" w:eastAsia="Times New Roman" w:hAnsi="Calibri" w:cs="Calibri"/>
          <w:sz w:val="20"/>
          <w:szCs w:val="20"/>
        </w:rPr>
      </w:pPr>
      <w:r w:rsidRPr="0049676A">
        <w:rPr>
          <w:rFonts w:ascii="Calibri" w:eastAsia="Times New Roman" w:hAnsi="Calibri" w:cs="Calibri"/>
          <w:b/>
          <w:bCs/>
          <w:sz w:val="20"/>
          <w:szCs w:val="20"/>
        </w:rPr>
        <w:t>Functionality &amp; Features (</w:t>
      </w:r>
      <w:r w:rsidR="001A02A2" w:rsidRPr="0049676A">
        <w:rPr>
          <w:rFonts w:ascii="Calibri" w:eastAsia="Times New Roman" w:hAnsi="Calibri" w:cs="Calibri"/>
          <w:b/>
          <w:bCs/>
          <w:sz w:val="20"/>
          <w:szCs w:val="20"/>
        </w:rPr>
        <w:t>25</w:t>
      </w:r>
      <w:r w:rsidRPr="0049676A">
        <w:rPr>
          <w:rFonts w:ascii="Calibri" w:eastAsia="Times New Roman" w:hAnsi="Calibri" w:cs="Calibri"/>
          <w:b/>
          <w:bCs/>
          <w:sz w:val="20"/>
          <w:szCs w:val="20"/>
        </w:rPr>
        <w:t>%)</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 xml:space="preserve">- </w:t>
      </w:r>
      <w:r w:rsidR="005C1E80" w:rsidRPr="0049676A">
        <w:rPr>
          <w:rFonts w:ascii="Calibri" w:hAnsi="Calibri" w:cs="Calibri"/>
        </w:rPr>
        <w:t>Extent to which the solution meets the Bank’s blockchain analytics, transaction monitoring, and risk management requirements.</w:t>
      </w:r>
    </w:p>
    <w:p w14:paraId="0A8DF299" w14:textId="6B08ED9F" w:rsidR="002B246E" w:rsidRPr="0049676A" w:rsidRDefault="002B246E" w:rsidP="00B32C6A">
      <w:pPr>
        <w:numPr>
          <w:ilvl w:val="0"/>
          <w:numId w:val="7"/>
        </w:numPr>
        <w:tabs>
          <w:tab w:val="clear" w:pos="720"/>
          <w:tab w:val="num" w:pos="-180"/>
        </w:tabs>
        <w:spacing w:before="100" w:beforeAutospacing="1" w:after="100" w:afterAutospacing="1" w:line="360" w:lineRule="auto"/>
        <w:ind w:left="-180"/>
        <w:rPr>
          <w:rFonts w:ascii="Calibri" w:eastAsia="Times New Roman" w:hAnsi="Calibri" w:cs="Calibri"/>
          <w:sz w:val="20"/>
          <w:szCs w:val="20"/>
        </w:rPr>
      </w:pPr>
      <w:r w:rsidRPr="0049676A">
        <w:rPr>
          <w:rFonts w:ascii="Calibri" w:eastAsia="Times New Roman" w:hAnsi="Calibri" w:cs="Calibri"/>
          <w:b/>
          <w:bCs/>
          <w:sz w:val="20"/>
          <w:szCs w:val="20"/>
        </w:rPr>
        <w:t xml:space="preserve">Scalability </w:t>
      </w:r>
      <w:r w:rsidRPr="0049676A">
        <w:rPr>
          <w:rFonts w:ascii="Calibri" w:eastAsia="Times New Roman" w:hAnsi="Calibri" w:cs="Calibri"/>
          <w:b/>
          <w:bCs/>
          <w:sz w:val="20"/>
          <w:szCs w:val="20"/>
        </w:rPr>
        <w:tab/>
      </w:r>
      <w:r w:rsidRPr="0049676A">
        <w:rPr>
          <w:rFonts w:ascii="Calibri" w:eastAsia="Times New Roman" w:hAnsi="Calibri" w:cs="Calibri"/>
          <w:b/>
          <w:bCs/>
          <w:sz w:val="20"/>
          <w:szCs w:val="20"/>
          <w:lang w:val="ka-GE"/>
        </w:rPr>
        <w:t>(5%)</w:t>
      </w:r>
      <w:r w:rsidR="005C1E80" w:rsidRPr="0049676A">
        <w:rPr>
          <w:rFonts w:ascii="Calibri" w:eastAsia="Times New Roman" w:hAnsi="Calibri" w:cs="Calibri"/>
          <w:sz w:val="20"/>
          <w:szCs w:val="20"/>
        </w:rPr>
        <w:t xml:space="preserve"> - </w:t>
      </w:r>
      <w:r w:rsidR="005C1E80" w:rsidRPr="0049676A">
        <w:rPr>
          <w:rFonts w:ascii="Calibri" w:hAnsi="Calibri" w:cs="Calibri"/>
        </w:rPr>
        <w:t>Ability to handle growing transaction volumes, multi-chain coverage, and increasing regulatory demands.</w:t>
      </w:r>
    </w:p>
    <w:p w14:paraId="02A09327" w14:textId="3468E89E" w:rsidR="00457ECE" w:rsidRPr="0049676A" w:rsidRDefault="00457ECE" w:rsidP="00B32C6A">
      <w:pPr>
        <w:numPr>
          <w:ilvl w:val="0"/>
          <w:numId w:val="7"/>
        </w:numPr>
        <w:spacing w:before="100" w:beforeAutospacing="1" w:after="100" w:afterAutospacing="1" w:line="360" w:lineRule="auto"/>
        <w:ind w:left="-180"/>
        <w:rPr>
          <w:rFonts w:ascii="Calibri" w:eastAsia="Times New Roman" w:hAnsi="Calibri" w:cs="Calibri"/>
          <w:sz w:val="20"/>
          <w:szCs w:val="20"/>
        </w:rPr>
      </w:pPr>
      <w:proofErr w:type="gramStart"/>
      <w:r w:rsidRPr="0049676A">
        <w:rPr>
          <w:rFonts w:ascii="Calibri" w:eastAsia="Times New Roman" w:hAnsi="Calibri" w:cs="Calibri"/>
          <w:b/>
          <w:bCs/>
          <w:sz w:val="20"/>
          <w:szCs w:val="20"/>
        </w:rPr>
        <w:t xml:space="preserve">Integration </w:t>
      </w:r>
      <w:r w:rsidR="0049676A">
        <w:rPr>
          <w:rFonts w:ascii="Calibri" w:eastAsia="Times New Roman" w:hAnsi="Calibri" w:cs="Calibri"/>
          <w:b/>
          <w:bCs/>
          <w:sz w:val="20"/>
          <w:szCs w:val="20"/>
        </w:rPr>
        <w:t xml:space="preserve"> </w:t>
      </w:r>
      <w:r w:rsidR="001A02A2" w:rsidRPr="0049676A">
        <w:rPr>
          <w:rFonts w:ascii="Calibri" w:eastAsia="Times New Roman" w:hAnsi="Calibri" w:cs="Calibri"/>
          <w:b/>
          <w:bCs/>
          <w:sz w:val="20"/>
          <w:szCs w:val="20"/>
        </w:rPr>
        <w:t>(</w:t>
      </w:r>
      <w:proofErr w:type="gramEnd"/>
      <w:r w:rsidR="001A02A2" w:rsidRPr="0049676A">
        <w:rPr>
          <w:rFonts w:ascii="Calibri" w:eastAsia="Times New Roman" w:hAnsi="Calibri" w:cs="Calibri"/>
          <w:b/>
          <w:bCs/>
          <w:sz w:val="20"/>
          <w:szCs w:val="20"/>
        </w:rPr>
        <w:t>13</w:t>
      </w:r>
      <w:r w:rsidRPr="0049676A">
        <w:rPr>
          <w:rFonts w:ascii="Calibri" w:eastAsia="Times New Roman" w:hAnsi="Calibri" w:cs="Calibri"/>
          <w:b/>
          <w:bCs/>
          <w:sz w:val="20"/>
          <w:szCs w:val="20"/>
        </w:rPr>
        <w:t>%)</w:t>
      </w:r>
      <w:r w:rsidR="005C1E80" w:rsidRPr="0049676A">
        <w:rPr>
          <w:rFonts w:ascii="Calibri" w:eastAsia="Times New Roman" w:hAnsi="Calibri" w:cs="Calibri"/>
          <w:sz w:val="20"/>
          <w:szCs w:val="20"/>
        </w:rPr>
        <w:t xml:space="preserve"> - </w:t>
      </w:r>
      <w:r w:rsidR="005C1E80" w:rsidRPr="0049676A">
        <w:rPr>
          <w:rFonts w:ascii="Calibri" w:hAnsi="Calibri" w:cs="Calibri"/>
        </w:rPr>
        <w:t>Ease of integration with existing core banking systems, payment gateways, AML/KYC platforms, and third-party compliance databases.</w:t>
      </w:r>
    </w:p>
    <w:p w14:paraId="653A0227" w14:textId="7E6CA18B" w:rsidR="00457ECE" w:rsidRPr="0049676A" w:rsidRDefault="00457ECE" w:rsidP="00B32C6A">
      <w:pPr>
        <w:numPr>
          <w:ilvl w:val="0"/>
          <w:numId w:val="7"/>
        </w:numPr>
        <w:spacing w:before="100" w:beforeAutospacing="1" w:after="100" w:afterAutospacing="1" w:line="360" w:lineRule="auto"/>
        <w:ind w:left="-180"/>
        <w:rPr>
          <w:rFonts w:ascii="Calibri" w:eastAsia="Times New Roman" w:hAnsi="Calibri" w:cs="Calibri"/>
          <w:sz w:val="20"/>
          <w:szCs w:val="20"/>
        </w:rPr>
      </w:pPr>
      <w:r w:rsidRPr="0049676A">
        <w:rPr>
          <w:rFonts w:ascii="Calibri" w:eastAsia="Times New Roman" w:hAnsi="Calibri" w:cs="Calibri"/>
          <w:b/>
          <w:bCs/>
          <w:sz w:val="20"/>
          <w:szCs w:val="20"/>
        </w:rPr>
        <w:t xml:space="preserve">Security &amp; </w:t>
      </w:r>
      <w:proofErr w:type="gramStart"/>
      <w:r w:rsidRPr="0049676A">
        <w:rPr>
          <w:rFonts w:ascii="Calibri" w:eastAsia="Times New Roman" w:hAnsi="Calibri" w:cs="Calibri"/>
          <w:b/>
          <w:bCs/>
          <w:sz w:val="20"/>
          <w:szCs w:val="20"/>
        </w:rPr>
        <w:t xml:space="preserve">Compliance </w:t>
      </w:r>
      <w:r w:rsidR="0049676A">
        <w:rPr>
          <w:rFonts w:ascii="Calibri" w:eastAsia="Times New Roman" w:hAnsi="Calibri" w:cs="Calibri"/>
          <w:b/>
          <w:bCs/>
          <w:sz w:val="20"/>
          <w:szCs w:val="20"/>
        </w:rPr>
        <w:t xml:space="preserve"> </w:t>
      </w:r>
      <w:r w:rsidRPr="0049676A">
        <w:rPr>
          <w:rFonts w:ascii="Calibri" w:eastAsia="Times New Roman" w:hAnsi="Calibri" w:cs="Calibri"/>
          <w:b/>
          <w:bCs/>
          <w:sz w:val="20"/>
          <w:szCs w:val="20"/>
        </w:rPr>
        <w:t>(</w:t>
      </w:r>
      <w:proofErr w:type="gramEnd"/>
      <w:r w:rsidR="001A02A2" w:rsidRPr="0049676A">
        <w:rPr>
          <w:rFonts w:ascii="Calibri" w:eastAsia="Times New Roman" w:hAnsi="Calibri" w:cs="Calibri"/>
          <w:b/>
          <w:bCs/>
          <w:sz w:val="20"/>
          <w:szCs w:val="20"/>
        </w:rPr>
        <w:t>12</w:t>
      </w:r>
      <w:r w:rsidRPr="0049676A">
        <w:rPr>
          <w:rFonts w:ascii="Calibri" w:eastAsia="Times New Roman" w:hAnsi="Calibri" w:cs="Calibri"/>
          <w:b/>
          <w:bCs/>
          <w:sz w:val="20"/>
          <w:szCs w:val="20"/>
        </w:rPr>
        <w:t>%)</w:t>
      </w:r>
      <w:r w:rsidR="005C1E80" w:rsidRPr="0049676A">
        <w:rPr>
          <w:rFonts w:ascii="Calibri" w:eastAsia="Times New Roman" w:hAnsi="Calibri" w:cs="Calibri"/>
          <w:sz w:val="20"/>
          <w:szCs w:val="20"/>
        </w:rPr>
        <w:t xml:space="preserve"> - </w:t>
      </w:r>
      <w:r w:rsidR="005C1E80" w:rsidRPr="0049676A">
        <w:rPr>
          <w:rFonts w:ascii="Calibri" w:hAnsi="Calibri" w:cs="Calibri"/>
        </w:rPr>
        <w:t>Adherence to data protection regulations, encryption standards, role-based access controls, MFA, and international compliance frameworks (e.g., FATF, GDPR, Basel III).</w:t>
      </w:r>
    </w:p>
    <w:p w14:paraId="7D717AD7" w14:textId="762FDADB" w:rsidR="001A02A2" w:rsidRPr="0049676A" w:rsidRDefault="00457ECE" w:rsidP="001A02A2">
      <w:pPr>
        <w:numPr>
          <w:ilvl w:val="0"/>
          <w:numId w:val="7"/>
        </w:numPr>
        <w:spacing w:before="100" w:beforeAutospacing="1" w:after="100" w:afterAutospacing="1" w:line="360" w:lineRule="auto"/>
        <w:ind w:left="-180"/>
        <w:rPr>
          <w:rFonts w:ascii="Calibri" w:eastAsia="Times New Roman" w:hAnsi="Calibri" w:cs="Calibri"/>
          <w:sz w:val="20"/>
          <w:szCs w:val="20"/>
        </w:rPr>
      </w:pPr>
      <w:r w:rsidRPr="0049676A">
        <w:rPr>
          <w:rFonts w:ascii="Calibri" w:eastAsia="Times New Roman" w:hAnsi="Calibri" w:cs="Calibri"/>
          <w:b/>
          <w:bCs/>
          <w:sz w:val="20"/>
          <w:szCs w:val="20"/>
        </w:rPr>
        <w:t xml:space="preserve">Implementation &amp; Support </w:t>
      </w:r>
      <w:r w:rsidR="002B246E" w:rsidRPr="0049676A">
        <w:rPr>
          <w:rFonts w:ascii="Calibri" w:eastAsia="Times New Roman" w:hAnsi="Calibri" w:cs="Calibri"/>
          <w:b/>
          <w:bCs/>
          <w:sz w:val="20"/>
          <w:szCs w:val="20"/>
        </w:rPr>
        <w:tab/>
      </w:r>
      <w:r w:rsidR="001A02A2" w:rsidRPr="0049676A">
        <w:rPr>
          <w:rFonts w:ascii="Calibri" w:eastAsia="Times New Roman" w:hAnsi="Calibri" w:cs="Calibri"/>
          <w:b/>
          <w:bCs/>
          <w:sz w:val="20"/>
          <w:szCs w:val="20"/>
        </w:rPr>
        <w:t>(13</w:t>
      </w:r>
      <w:r w:rsidRPr="0049676A">
        <w:rPr>
          <w:rFonts w:ascii="Calibri" w:eastAsia="Times New Roman" w:hAnsi="Calibri" w:cs="Calibri"/>
          <w:b/>
          <w:bCs/>
          <w:sz w:val="20"/>
          <w:szCs w:val="20"/>
        </w:rPr>
        <w:t>%)</w:t>
      </w:r>
      <w:r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w:t>
      </w:r>
      <w:r w:rsidRPr="0049676A">
        <w:rPr>
          <w:rFonts w:ascii="Calibri" w:eastAsia="Times New Roman" w:hAnsi="Calibri" w:cs="Calibri"/>
          <w:sz w:val="20"/>
          <w:szCs w:val="20"/>
        </w:rPr>
        <w:t xml:space="preserve"> </w:t>
      </w:r>
      <w:r w:rsidR="005C1E80" w:rsidRPr="0049676A">
        <w:rPr>
          <w:rFonts w:ascii="Calibri" w:hAnsi="Calibri" w:cs="Calibri"/>
        </w:rPr>
        <w:t>Quality of deployment plan, timeline, training, and ongoing customer support.</w:t>
      </w:r>
    </w:p>
    <w:p w14:paraId="058297CC" w14:textId="24EC0CD4" w:rsidR="001A02A2" w:rsidRPr="0049676A" w:rsidRDefault="00D11F71" w:rsidP="001A02A2">
      <w:pPr>
        <w:numPr>
          <w:ilvl w:val="0"/>
          <w:numId w:val="7"/>
        </w:numPr>
        <w:tabs>
          <w:tab w:val="clear" w:pos="720"/>
        </w:tabs>
        <w:spacing w:before="100" w:beforeAutospacing="1" w:after="100" w:afterAutospacing="1" w:line="360" w:lineRule="auto"/>
        <w:ind w:left="-180"/>
        <w:rPr>
          <w:rFonts w:ascii="Calibri" w:eastAsia="Times New Roman" w:hAnsi="Calibri" w:cs="Calibri"/>
          <w:sz w:val="20"/>
          <w:szCs w:val="20"/>
        </w:rPr>
      </w:pPr>
      <w:r w:rsidRPr="0049676A">
        <w:rPr>
          <w:rFonts w:ascii="Calibri" w:eastAsia="Times New Roman" w:hAnsi="Calibri" w:cs="Calibri"/>
          <w:b/>
          <w:bCs/>
          <w:sz w:val="20"/>
          <w:szCs w:val="20"/>
        </w:rPr>
        <w:t>Knowledge Transfer &amp;</w:t>
      </w:r>
      <w:r w:rsidR="001A02A2" w:rsidRPr="0049676A">
        <w:rPr>
          <w:rFonts w:ascii="Calibri" w:eastAsia="Times New Roman" w:hAnsi="Calibri" w:cs="Calibri"/>
          <w:b/>
          <w:bCs/>
          <w:sz w:val="20"/>
          <w:szCs w:val="20"/>
        </w:rPr>
        <w:t xml:space="preserve"> </w:t>
      </w:r>
      <w:proofErr w:type="gramStart"/>
      <w:r w:rsidR="001A02A2" w:rsidRPr="0049676A">
        <w:rPr>
          <w:rFonts w:ascii="Calibri" w:eastAsia="Times New Roman" w:hAnsi="Calibri" w:cs="Calibri"/>
          <w:b/>
          <w:bCs/>
          <w:sz w:val="20"/>
          <w:szCs w:val="20"/>
        </w:rPr>
        <w:t>C</w:t>
      </w:r>
      <w:r w:rsidRPr="0049676A">
        <w:rPr>
          <w:rFonts w:ascii="Calibri" w:eastAsia="Times New Roman" w:hAnsi="Calibri" w:cs="Calibri"/>
          <w:b/>
          <w:bCs/>
          <w:sz w:val="20"/>
          <w:szCs w:val="20"/>
        </w:rPr>
        <w:t>onsulting</w:t>
      </w:r>
      <w:r w:rsidR="0049676A">
        <w:rPr>
          <w:rFonts w:ascii="Calibri" w:eastAsia="Times New Roman" w:hAnsi="Calibri" w:cs="Calibri"/>
          <w:b/>
          <w:bCs/>
          <w:sz w:val="20"/>
          <w:szCs w:val="20"/>
        </w:rPr>
        <w:t xml:space="preserve"> </w:t>
      </w:r>
      <w:r w:rsidRPr="0049676A">
        <w:rPr>
          <w:rFonts w:ascii="Calibri" w:eastAsia="Times New Roman" w:hAnsi="Calibri" w:cs="Calibri"/>
          <w:b/>
          <w:bCs/>
          <w:sz w:val="20"/>
          <w:szCs w:val="20"/>
        </w:rPr>
        <w:t xml:space="preserve"> (</w:t>
      </w:r>
      <w:proofErr w:type="gramEnd"/>
      <w:r w:rsidR="001A02A2" w:rsidRPr="0049676A">
        <w:rPr>
          <w:rFonts w:ascii="Calibri" w:eastAsia="Times New Roman" w:hAnsi="Calibri" w:cs="Calibri"/>
          <w:b/>
          <w:bCs/>
          <w:sz w:val="20"/>
          <w:szCs w:val="20"/>
        </w:rPr>
        <w:t>12</w:t>
      </w:r>
      <w:r w:rsidRPr="0049676A">
        <w:rPr>
          <w:rFonts w:ascii="Calibri" w:eastAsia="Times New Roman" w:hAnsi="Calibri" w:cs="Calibri"/>
          <w:b/>
          <w:bCs/>
          <w:sz w:val="20"/>
          <w:szCs w:val="20"/>
        </w:rPr>
        <w:t>%)</w:t>
      </w:r>
      <w:r w:rsidR="005C1E80" w:rsidRPr="0049676A">
        <w:rPr>
          <w:rFonts w:ascii="Calibri" w:eastAsia="Times New Roman" w:hAnsi="Calibri" w:cs="Calibri"/>
          <w:b/>
          <w:bCs/>
          <w:sz w:val="20"/>
          <w:szCs w:val="20"/>
        </w:rPr>
        <w:t xml:space="preserve"> - </w:t>
      </w:r>
      <w:r w:rsidR="005C1E80" w:rsidRPr="0049676A">
        <w:rPr>
          <w:rFonts w:ascii="Calibri" w:hAnsi="Calibri" w:cs="Calibri"/>
        </w:rPr>
        <w:t>Effectiveness of training, documentation, and guidance for internal teams to launch, configure, or update blockchain monitoring indicators, behavioral models, and analytical parameters.</w:t>
      </w:r>
    </w:p>
    <w:p w14:paraId="1357760E" w14:textId="11F8AF96" w:rsidR="005C1E80" w:rsidRPr="0049676A" w:rsidRDefault="002B246E" w:rsidP="005C1E80">
      <w:pPr>
        <w:numPr>
          <w:ilvl w:val="0"/>
          <w:numId w:val="7"/>
        </w:numPr>
        <w:spacing w:before="100" w:beforeAutospacing="1" w:after="100" w:afterAutospacing="1" w:line="360" w:lineRule="auto"/>
        <w:ind w:left="-180"/>
        <w:rPr>
          <w:rFonts w:ascii="Calibri" w:eastAsia="Times New Roman" w:hAnsi="Calibri" w:cs="Calibri"/>
          <w:sz w:val="20"/>
          <w:szCs w:val="20"/>
        </w:rPr>
      </w:pPr>
      <w:proofErr w:type="gramStart"/>
      <w:r w:rsidRPr="0049676A">
        <w:rPr>
          <w:rFonts w:ascii="Calibri" w:eastAsia="Times New Roman" w:hAnsi="Calibri" w:cs="Calibri"/>
          <w:b/>
          <w:bCs/>
          <w:sz w:val="20"/>
          <w:szCs w:val="20"/>
        </w:rPr>
        <w:t xml:space="preserve">Cost </w:t>
      </w:r>
      <w:r w:rsidR="0049676A">
        <w:rPr>
          <w:rFonts w:ascii="Calibri" w:eastAsia="Times New Roman" w:hAnsi="Calibri" w:cs="Calibri"/>
          <w:b/>
          <w:bCs/>
          <w:sz w:val="20"/>
          <w:szCs w:val="20"/>
        </w:rPr>
        <w:t xml:space="preserve"> </w:t>
      </w:r>
      <w:r w:rsidRPr="0049676A">
        <w:rPr>
          <w:rFonts w:ascii="Calibri" w:eastAsia="Times New Roman" w:hAnsi="Calibri" w:cs="Calibri"/>
          <w:b/>
          <w:bCs/>
          <w:sz w:val="20"/>
          <w:szCs w:val="20"/>
        </w:rPr>
        <w:t>(</w:t>
      </w:r>
      <w:proofErr w:type="gramEnd"/>
      <w:r w:rsidRPr="0049676A">
        <w:rPr>
          <w:rFonts w:ascii="Calibri" w:eastAsia="Times New Roman" w:hAnsi="Calibri" w:cs="Calibri"/>
          <w:b/>
          <w:bCs/>
          <w:sz w:val="20"/>
          <w:szCs w:val="20"/>
        </w:rPr>
        <w:t>20</w:t>
      </w:r>
      <w:r w:rsidR="00457ECE" w:rsidRPr="0049676A">
        <w:rPr>
          <w:rFonts w:ascii="Calibri" w:eastAsia="Times New Roman" w:hAnsi="Calibri" w:cs="Calibri"/>
          <w:b/>
          <w:bCs/>
          <w:sz w:val="20"/>
          <w:szCs w:val="20"/>
        </w:rPr>
        <w:t>%)</w:t>
      </w:r>
      <w:r w:rsidR="00457ECE" w:rsidRPr="0049676A">
        <w:rPr>
          <w:rFonts w:ascii="Calibri" w:eastAsia="Times New Roman" w:hAnsi="Calibri" w:cs="Calibri"/>
          <w:sz w:val="20"/>
          <w:szCs w:val="20"/>
        </w:rPr>
        <w:t xml:space="preserve"> </w:t>
      </w:r>
      <w:r w:rsidR="005C1E80" w:rsidRPr="0049676A">
        <w:rPr>
          <w:rFonts w:ascii="Calibri" w:eastAsia="Times New Roman" w:hAnsi="Calibri" w:cs="Calibri"/>
          <w:sz w:val="20"/>
          <w:szCs w:val="20"/>
        </w:rPr>
        <w:t xml:space="preserve">- </w:t>
      </w:r>
      <w:r w:rsidR="005C1E80" w:rsidRPr="0049676A">
        <w:rPr>
          <w:rFonts w:ascii="Calibri" w:hAnsi="Calibri" w:cs="Calibri"/>
        </w:rPr>
        <w:t>Competitive pricing, including licensing, setup, optional modules, and total cost of ownership (TCO).</w:t>
      </w:r>
    </w:p>
    <w:p w14:paraId="56BC0C01" w14:textId="4CDAF57C" w:rsidR="006D2971" w:rsidRPr="0049676A" w:rsidRDefault="006D2971" w:rsidP="006D2971">
      <w:pPr>
        <w:spacing w:before="100" w:beforeAutospacing="1" w:after="100" w:afterAutospacing="1" w:line="360" w:lineRule="auto"/>
        <w:outlineLvl w:val="1"/>
        <w:rPr>
          <w:rFonts w:ascii="Calibri" w:eastAsia="Times New Roman" w:hAnsi="Calibri" w:cs="Calibri"/>
          <w:b/>
          <w:bCs/>
          <w:sz w:val="20"/>
          <w:szCs w:val="20"/>
        </w:rPr>
      </w:pPr>
      <w:bookmarkStart w:id="18" w:name="_Toc213152066"/>
      <w:r w:rsidRPr="0049676A">
        <w:rPr>
          <w:rFonts w:ascii="Calibri" w:eastAsia="Times New Roman" w:hAnsi="Calibri" w:cs="Calibri"/>
          <w:b/>
          <w:bCs/>
          <w:sz w:val="20"/>
          <w:szCs w:val="20"/>
          <w:lang w:val="ka-GE"/>
        </w:rPr>
        <w:t>6</w:t>
      </w:r>
      <w:r w:rsidRPr="0049676A">
        <w:rPr>
          <w:rFonts w:ascii="Calibri" w:eastAsia="Times New Roman" w:hAnsi="Calibri" w:cs="Calibri"/>
          <w:b/>
          <w:bCs/>
          <w:sz w:val="20"/>
          <w:szCs w:val="20"/>
        </w:rPr>
        <w:t>. Grounds for Disqualification</w:t>
      </w:r>
      <w:bookmarkEnd w:id="18"/>
    </w:p>
    <w:p w14:paraId="57A07A90" w14:textId="77777777" w:rsidR="006D2971" w:rsidRPr="0049676A" w:rsidRDefault="006D2971" w:rsidP="006D2971">
      <w:pPr>
        <w:spacing w:before="100" w:beforeAutospacing="1" w:after="100" w:afterAutospacing="1" w:line="240" w:lineRule="auto"/>
        <w:rPr>
          <w:rFonts w:ascii="Calibri" w:hAnsi="Calibri" w:cs="Calibri"/>
          <w:sz w:val="20"/>
          <w:szCs w:val="20"/>
        </w:rPr>
      </w:pPr>
      <w:r w:rsidRPr="0049676A">
        <w:rPr>
          <w:rFonts w:ascii="Calibri" w:hAnsi="Calibri" w:cs="Calibri"/>
          <w:sz w:val="20"/>
          <w:szCs w:val="20"/>
        </w:rPr>
        <w:t>The purchaser is authorized to disqualify a bidder if:</w:t>
      </w:r>
    </w:p>
    <w:p w14:paraId="428AC625" w14:textId="77777777" w:rsidR="006D2971" w:rsidRPr="0049676A" w:rsidRDefault="006D2971" w:rsidP="006D2971">
      <w:pPr>
        <w:numPr>
          <w:ilvl w:val="0"/>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 bidder is listed in the register of debtors;</w:t>
      </w:r>
    </w:p>
    <w:p w14:paraId="60E05F7E" w14:textId="77777777" w:rsidR="006D2971" w:rsidRPr="0049676A" w:rsidRDefault="006D2971" w:rsidP="006D2971">
      <w:pPr>
        <w:numPr>
          <w:ilvl w:val="0"/>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 bidder’s property is subject to a registered tax lien, mortgage, or other encumbrance/restriction;</w:t>
      </w:r>
    </w:p>
    <w:p w14:paraId="1ABC4DC0" w14:textId="77777777" w:rsidR="006D2971" w:rsidRPr="0049676A" w:rsidRDefault="006D2971" w:rsidP="006D2971">
      <w:pPr>
        <w:numPr>
          <w:ilvl w:val="0"/>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 bidder is undergoing reorganization, liquidation, or insolvency proceedings;</w:t>
      </w:r>
    </w:p>
    <w:p w14:paraId="44FF8495" w14:textId="77777777" w:rsidR="006D2971" w:rsidRPr="0049676A" w:rsidRDefault="006D2971" w:rsidP="006D2971">
      <w:pPr>
        <w:numPr>
          <w:ilvl w:val="0"/>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 documentation/information required by the tender application is:</w:t>
      </w:r>
    </w:p>
    <w:p w14:paraId="198E2D0F" w14:textId="77777777" w:rsidR="006D2971" w:rsidRPr="0049676A" w:rsidRDefault="006D2971" w:rsidP="006D2971">
      <w:pPr>
        <w:numPr>
          <w:ilvl w:val="1"/>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Not fully submitted;</w:t>
      </w:r>
    </w:p>
    <w:p w14:paraId="7E63659F" w14:textId="77777777" w:rsidR="006D2971" w:rsidRPr="0049676A" w:rsidRDefault="006D2971" w:rsidP="006D2971">
      <w:pPr>
        <w:numPr>
          <w:ilvl w:val="1"/>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Not in compliance with the specified requirements;</w:t>
      </w:r>
    </w:p>
    <w:p w14:paraId="463E8869" w14:textId="77777777" w:rsidR="006D2971" w:rsidRPr="0049676A" w:rsidRDefault="006D2971" w:rsidP="006D2971">
      <w:pPr>
        <w:numPr>
          <w:ilvl w:val="1"/>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Inaccurate or inconsistent with actual facts;</w:t>
      </w:r>
    </w:p>
    <w:p w14:paraId="68040387" w14:textId="6337C1EB" w:rsidR="006D2971" w:rsidRPr="0049676A" w:rsidRDefault="006D2971" w:rsidP="006D2971">
      <w:pPr>
        <w:numPr>
          <w:ilvl w:val="1"/>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Falsified.</w:t>
      </w:r>
    </w:p>
    <w:p w14:paraId="6D172CDC" w14:textId="34A0BD65" w:rsidR="00BA7D47" w:rsidRPr="0049676A" w:rsidRDefault="00BA7D47" w:rsidP="006D2971">
      <w:pPr>
        <w:numPr>
          <w:ilvl w:val="1"/>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Refused provide demo account and/or other materials/instructions to duly support the application selection process</w:t>
      </w:r>
    </w:p>
    <w:p w14:paraId="7D0834A5" w14:textId="77777777" w:rsidR="006D2971" w:rsidRPr="0049676A" w:rsidRDefault="006D2971" w:rsidP="006D2971">
      <w:pPr>
        <w:numPr>
          <w:ilvl w:val="0"/>
          <w:numId w:val="15"/>
        </w:num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There are other objective circumstances that make the bidder's further participation in the tender impossible.</w:t>
      </w:r>
    </w:p>
    <w:p w14:paraId="3ED89FA5" w14:textId="68911ADF" w:rsidR="006D2971" w:rsidRPr="0049676A" w:rsidRDefault="006D2971" w:rsidP="006D2971">
      <w:pPr>
        <w:spacing w:after="0" w:line="240" w:lineRule="auto"/>
        <w:rPr>
          <w:rFonts w:ascii="Calibri" w:eastAsia="Times New Roman" w:hAnsi="Calibri" w:cs="Calibri"/>
          <w:sz w:val="20"/>
          <w:szCs w:val="20"/>
        </w:rPr>
      </w:pPr>
    </w:p>
    <w:p w14:paraId="1771409B" w14:textId="77777777" w:rsidR="006D2971" w:rsidRPr="0049676A" w:rsidRDefault="006D2971" w:rsidP="006D2971">
      <w:pPr>
        <w:spacing w:before="100" w:beforeAutospacing="1" w:after="100" w:afterAutospacing="1" w:line="240" w:lineRule="auto"/>
        <w:rPr>
          <w:rFonts w:ascii="Calibri" w:eastAsia="Times New Roman" w:hAnsi="Calibri" w:cs="Calibri"/>
          <w:b/>
          <w:bCs/>
          <w:sz w:val="20"/>
          <w:szCs w:val="20"/>
        </w:rPr>
      </w:pPr>
      <w:r w:rsidRPr="0049676A">
        <w:rPr>
          <w:rFonts w:ascii="Calibri" w:eastAsia="Times New Roman" w:hAnsi="Calibri" w:cs="Calibri"/>
          <w:b/>
          <w:bCs/>
          <w:sz w:val="20"/>
          <w:szCs w:val="20"/>
        </w:rPr>
        <w:lastRenderedPageBreak/>
        <w:t>Confidentiality</w:t>
      </w:r>
    </w:p>
    <w:p w14:paraId="611289D2" w14:textId="3C37F0CF" w:rsidR="006D2971" w:rsidRPr="0049676A" w:rsidRDefault="006D2971" w:rsidP="00156808">
      <w:pPr>
        <w:spacing w:before="100" w:beforeAutospacing="1" w:after="100" w:afterAutospacing="1" w:line="240" w:lineRule="auto"/>
        <w:rPr>
          <w:rFonts w:ascii="Calibri" w:eastAsia="Times New Roman" w:hAnsi="Calibri" w:cs="Calibri"/>
          <w:sz w:val="20"/>
          <w:szCs w:val="20"/>
          <w:vertAlign w:val="subscript"/>
        </w:rPr>
      </w:pPr>
      <w:r w:rsidRPr="0049676A">
        <w:rPr>
          <w:rFonts w:ascii="Calibri" w:eastAsia="Times New Roman" w:hAnsi="Calibri" w:cs="Calibri"/>
          <w:sz w:val="20"/>
          <w:szCs w:val="20"/>
        </w:rPr>
        <w:t>The bidder shall be responsible for maintaining the confidentiality of any information provided by the purchaser, both during the selection process and after its completion, regardless of the outcome of the tender.</w:t>
      </w:r>
    </w:p>
    <w:p w14:paraId="26817BE4" w14:textId="77777777" w:rsidR="00156808" w:rsidRPr="0049676A" w:rsidRDefault="006D2971" w:rsidP="009378C2">
      <w:pPr>
        <w:spacing w:before="100" w:beforeAutospacing="1" w:after="100" w:afterAutospacing="1" w:line="360" w:lineRule="auto"/>
        <w:outlineLvl w:val="1"/>
        <w:rPr>
          <w:rFonts w:ascii="Calibri" w:eastAsia="Times New Roman" w:hAnsi="Calibri" w:cs="Calibri"/>
          <w:b/>
          <w:bCs/>
          <w:sz w:val="20"/>
          <w:szCs w:val="20"/>
        </w:rPr>
      </w:pPr>
      <w:bookmarkStart w:id="19" w:name="_Toc213152067"/>
      <w:r w:rsidRPr="0049676A">
        <w:rPr>
          <w:rFonts w:ascii="Calibri" w:eastAsia="Times New Roman" w:hAnsi="Calibri" w:cs="Calibri"/>
          <w:b/>
          <w:bCs/>
          <w:sz w:val="20"/>
          <w:szCs w:val="20"/>
        </w:rPr>
        <w:t>7</w:t>
      </w:r>
      <w:r w:rsidR="00457ECE" w:rsidRPr="0049676A">
        <w:rPr>
          <w:rFonts w:ascii="Calibri" w:eastAsia="Times New Roman" w:hAnsi="Calibri" w:cs="Calibri"/>
          <w:b/>
          <w:bCs/>
          <w:sz w:val="20"/>
          <w:szCs w:val="20"/>
        </w:rPr>
        <w:t xml:space="preserve">. </w:t>
      </w:r>
      <w:bookmarkStart w:id="20" w:name="_Toc192693612"/>
      <w:r w:rsidR="00457ECE" w:rsidRPr="0049676A">
        <w:rPr>
          <w:rFonts w:ascii="Calibri" w:eastAsia="Times New Roman" w:hAnsi="Calibri" w:cs="Calibri"/>
          <w:b/>
          <w:bCs/>
          <w:sz w:val="20"/>
          <w:szCs w:val="20"/>
        </w:rPr>
        <w:t>Submission Process</w:t>
      </w:r>
      <w:bookmarkEnd w:id="19"/>
      <w:bookmarkEnd w:id="20"/>
    </w:p>
    <w:p w14:paraId="2FEA0A42" w14:textId="6BD74441" w:rsidR="009378C2" w:rsidRPr="0049676A" w:rsidRDefault="009378C2" w:rsidP="00156808">
      <w:pPr>
        <w:spacing w:before="100" w:beforeAutospacing="1" w:after="100" w:afterAutospacing="1" w:line="360" w:lineRule="auto"/>
        <w:outlineLvl w:val="1"/>
        <w:rPr>
          <w:rFonts w:ascii="Calibri" w:hAnsi="Calibri" w:cs="Calibri"/>
          <w:sz w:val="20"/>
          <w:szCs w:val="20"/>
        </w:rPr>
      </w:pPr>
      <w:bookmarkStart w:id="21" w:name="_Toc213152068"/>
      <w:r w:rsidRPr="0049676A">
        <w:rPr>
          <w:rFonts w:ascii="Calibri" w:eastAsia="Times New Roman" w:hAnsi="Calibri" w:cs="Calibri"/>
          <w:sz w:val="20"/>
          <w:szCs w:val="20"/>
        </w:rPr>
        <w:t>The submission of tender proposals shall be carried out electronically through www.tenders.ge, in</w:t>
      </w:r>
      <w:r w:rsidRPr="0049676A">
        <w:rPr>
          <w:rFonts w:ascii="Calibri" w:hAnsi="Calibri" w:cs="Calibri"/>
          <w:sz w:val="20"/>
          <w:szCs w:val="20"/>
        </w:rPr>
        <w:t xml:space="preserve"> accordance with the sealed envelope principleTender proposals must be submitted by no later than</w:t>
      </w:r>
      <w:r w:rsidRPr="0049676A">
        <w:rPr>
          <w:rFonts w:ascii="Calibri" w:hAnsi="Calibri" w:cs="Calibri"/>
          <w:color w:val="EE0000"/>
          <w:sz w:val="20"/>
          <w:szCs w:val="20"/>
        </w:rPr>
        <w:t xml:space="preserve"> </w:t>
      </w:r>
      <w:r w:rsidRPr="0049676A">
        <w:rPr>
          <w:rFonts w:ascii="Calibri" w:hAnsi="Calibri" w:cs="Calibri"/>
          <w:b/>
          <w:bCs/>
          <w:color w:val="EE0000"/>
          <w:sz w:val="20"/>
          <w:szCs w:val="20"/>
        </w:rPr>
        <w:t xml:space="preserve">18:00 (Georgian local time) on </w:t>
      </w:r>
      <w:r w:rsidR="0049676A" w:rsidRPr="0049676A">
        <w:rPr>
          <w:rFonts w:ascii="Calibri" w:hAnsi="Calibri" w:cs="Calibri"/>
          <w:b/>
          <w:bCs/>
          <w:color w:val="EE0000"/>
          <w:sz w:val="20"/>
          <w:szCs w:val="20"/>
        </w:rPr>
        <w:t>November 24, 2025</w:t>
      </w:r>
      <w:r w:rsidRPr="0049676A">
        <w:rPr>
          <w:rFonts w:ascii="Calibri" w:hAnsi="Calibri" w:cs="Calibri"/>
          <w:b/>
          <w:bCs/>
          <w:color w:val="EE0000"/>
          <w:sz w:val="20"/>
          <w:szCs w:val="20"/>
        </w:rPr>
        <w:t>.</w:t>
      </w:r>
      <w:bookmarkEnd w:id="21"/>
    </w:p>
    <w:p w14:paraId="342FEBF0" w14:textId="3E4B4FDF" w:rsidR="00457ECE" w:rsidRPr="0049676A" w:rsidRDefault="006D2971" w:rsidP="00B32C6A">
      <w:pPr>
        <w:spacing w:before="100" w:beforeAutospacing="1" w:after="100" w:afterAutospacing="1" w:line="360" w:lineRule="auto"/>
        <w:outlineLvl w:val="1"/>
        <w:rPr>
          <w:rFonts w:ascii="Calibri" w:eastAsia="Times New Roman" w:hAnsi="Calibri" w:cs="Calibri"/>
          <w:b/>
          <w:bCs/>
          <w:sz w:val="20"/>
          <w:szCs w:val="20"/>
        </w:rPr>
      </w:pPr>
      <w:bookmarkStart w:id="22" w:name="_Toc192693613"/>
      <w:bookmarkStart w:id="23" w:name="_Toc213152069"/>
      <w:r w:rsidRPr="0049676A">
        <w:rPr>
          <w:rFonts w:ascii="Calibri" w:eastAsia="Times New Roman" w:hAnsi="Calibri" w:cs="Calibri"/>
          <w:b/>
          <w:bCs/>
          <w:sz w:val="20"/>
          <w:szCs w:val="20"/>
          <w:lang w:val="ka-GE"/>
        </w:rPr>
        <w:t>8</w:t>
      </w:r>
      <w:r w:rsidR="00457ECE" w:rsidRPr="0049676A">
        <w:rPr>
          <w:rFonts w:ascii="Calibri" w:eastAsia="Times New Roman" w:hAnsi="Calibri" w:cs="Calibri"/>
          <w:b/>
          <w:bCs/>
          <w:sz w:val="20"/>
          <w:szCs w:val="20"/>
        </w:rPr>
        <w:t>. Additional Information</w:t>
      </w:r>
      <w:bookmarkEnd w:id="22"/>
      <w:bookmarkEnd w:id="23"/>
    </w:p>
    <w:p w14:paraId="2D7B2E88" w14:textId="6B68570D" w:rsidR="00457ECE" w:rsidRPr="0049676A" w:rsidRDefault="00457ECE" w:rsidP="00B32C6A">
      <w:pPr>
        <w:spacing w:before="100" w:beforeAutospacing="1" w:after="100" w:afterAutospacing="1" w:line="360" w:lineRule="auto"/>
        <w:rPr>
          <w:rFonts w:ascii="Calibri" w:eastAsia="Times New Roman" w:hAnsi="Calibri" w:cs="Calibri"/>
          <w:sz w:val="20"/>
          <w:szCs w:val="20"/>
          <w:lang w:val="ka-GE"/>
        </w:rPr>
      </w:pPr>
      <w:r w:rsidRPr="0049676A">
        <w:rPr>
          <w:rFonts w:ascii="Calibri" w:eastAsia="Times New Roman" w:hAnsi="Calibri" w:cs="Calibri"/>
          <w:sz w:val="20"/>
          <w:szCs w:val="20"/>
        </w:rPr>
        <w:t>For any questions or clarifications, vendors may contact</w:t>
      </w:r>
      <w:r w:rsidR="003E51DA" w:rsidRPr="0049676A">
        <w:rPr>
          <w:rFonts w:ascii="Calibri" w:eastAsia="Times New Roman" w:hAnsi="Calibri" w:cs="Calibri"/>
          <w:sz w:val="20"/>
          <w:szCs w:val="20"/>
        </w:rPr>
        <w:t xml:space="preserve"> </w:t>
      </w:r>
      <w:r w:rsidR="003E51DA" w:rsidRPr="0049676A">
        <w:rPr>
          <w:rFonts w:ascii="Calibri" w:eastAsia="Times New Roman" w:hAnsi="Calibri" w:cs="Calibri"/>
          <w:b/>
          <w:bCs/>
          <w:sz w:val="20"/>
          <w:szCs w:val="20"/>
        </w:rPr>
        <w:t>Salome Khorguashvili</w:t>
      </w:r>
      <w:r w:rsidR="003E51DA" w:rsidRPr="0049676A">
        <w:rPr>
          <w:rFonts w:ascii="Calibri" w:eastAsia="Times New Roman" w:hAnsi="Calibri" w:cs="Calibri"/>
          <w:sz w:val="20"/>
          <w:szCs w:val="20"/>
        </w:rPr>
        <w:t xml:space="preserve"> at</w:t>
      </w:r>
      <w:r w:rsidR="009378C2" w:rsidRPr="0049676A">
        <w:rPr>
          <w:rFonts w:ascii="Calibri" w:eastAsia="Times New Roman" w:hAnsi="Calibri" w:cs="Calibri"/>
          <w:sz w:val="20"/>
          <w:szCs w:val="20"/>
        </w:rPr>
        <w:t xml:space="preserve"> </w:t>
      </w:r>
      <w:r w:rsidR="003E51DA" w:rsidRPr="0049676A">
        <w:rPr>
          <w:rFonts w:ascii="Calibri" w:eastAsia="Times New Roman" w:hAnsi="Calibri" w:cs="Calibri"/>
          <w:sz w:val="20"/>
          <w:szCs w:val="20"/>
        </w:rPr>
        <w:t>[</w:t>
      </w:r>
      <w:hyperlink r:id="rId9" w:history="1">
        <w:r w:rsidR="00BB5C51" w:rsidRPr="0049676A">
          <w:rPr>
            <w:rStyle w:val="Hyperlink"/>
            <w:rFonts w:ascii="Calibri" w:eastAsia="Times New Roman" w:hAnsi="Calibri" w:cs="Calibri"/>
            <w:b/>
            <w:bCs/>
            <w:sz w:val="20"/>
            <w:szCs w:val="20"/>
          </w:rPr>
          <w:t>Salome.khorguashvili@hashbank.ge</w:t>
        </w:r>
      </w:hyperlink>
      <w:r w:rsidR="003E51DA" w:rsidRPr="0049676A">
        <w:rPr>
          <w:rFonts w:ascii="Calibri" w:eastAsia="Times New Roman" w:hAnsi="Calibri" w:cs="Calibri"/>
          <w:b/>
          <w:bCs/>
          <w:sz w:val="20"/>
          <w:szCs w:val="20"/>
        </w:rPr>
        <w:t>]</w:t>
      </w:r>
      <w:r w:rsidR="00BB5C51" w:rsidRPr="0049676A">
        <w:rPr>
          <w:rFonts w:ascii="Calibri" w:eastAsia="Times New Roman" w:hAnsi="Calibri" w:cs="Calibri"/>
          <w:b/>
          <w:bCs/>
          <w:sz w:val="20"/>
          <w:szCs w:val="20"/>
        </w:rPr>
        <w:t xml:space="preserve">; Salome Metreveli at [Salome.metreveli@hashbank.ge] </w:t>
      </w:r>
      <w:r w:rsidR="003E51DA" w:rsidRPr="0049676A">
        <w:rPr>
          <w:rFonts w:ascii="Calibri" w:eastAsia="Times New Roman" w:hAnsi="Calibri" w:cs="Calibri"/>
          <w:b/>
          <w:bCs/>
          <w:sz w:val="20"/>
          <w:szCs w:val="20"/>
        </w:rPr>
        <w:t xml:space="preserve">or </w:t>
      </w:r>
      <w:r w:rsidR="009378C2" w:rsidRPr="0049676A">
        <w:rPr>
          <w:rFonts w:ascii="Calibri" w:eastAsia="Times New Roman" w:hAnsi="Calibri" w:cs="Calibri"/>
          <w:b/>
          <w:bCs/>
          <w:sz w:val="20"/>
          <w:szCs w:val="20"/>
        </w:rPr>
        <w:t xml:space="preserve">Diana Kadaria </w:t>
      </w:r>
      <w:r w:rsidR="009378C2" w:rsidRPr="0049676A">
        <w:rPr>
          <w:rFonts w:ascii="Calibri" w:eastAsia="Times New Roman" w:hAnsi="Calibri" w:cs="Calibri"/>
          <w:sz w:val="20"/>
          <w:szCs w:val="20"/>
        </w:rPr>
        <w:t>at</w:t>
      </w:r>
      <w:r w:rsidR="009378C2" w:rsidRPr="0049676A">
        <w:rPr>
          <w:rFonts w:ascii="Calibri" w:eastAsia="Times New Roman" w:hAnsi="Calibri" w:cs="Calibri"/>
          <w:b/>
          <w:bCs/>
          <w:sz w:val="20"/>
          <w:szCs w:val="20"/>
        </w:rPr>
        <w:t xml:space="preserve"> [diana.kadaria@hashbank.ge]</w:t>
      </w:r>
      <w:r w:rsidR="009378C2" w:rsidRPr="0049676A">
        <w:rPr>
          <w:rFonts w:ascii="Calibri" w:eastAsia="Times New Roman" w:hAnsi="Calibri" w:cs="Calibri"/>
          <w:sz w:val="20"/>
          <w:szCs w:val="20"/>
        </w:rPr>
        <w:t xml:space="preserve"> Tel: +995 551 67 74 67, </w:t>
      </w:r>
      <w:r w:rsidRPr="0049676A">
        <w:rPr>
          <w:rFonts w:ascii="Calibri" w:eastAsia="Times New Roman" w:hAnsi="Calibri" w:cs="Calibri"/>
          <w:sz w:val="20"/>
          <w:szCs w:val="20"/>
        </w:rPr>
        <w:t xml:space="preserve">by </w:t>
      </w:r>
      <w:r w:rsidR="0049676A" w:rsidRPr="0049676A">
        <w:rPr>
          <w:rFonts w:ascii="Calibri" w:hAnsi="Calibri" w:cs="Calibri"/>
          <w:b/>
          <w:bCs/>
          <w:color w:val="EE0000"/>
          <w:sz w:val="20"/>
          <w:szCs w:val="20"/>
        </w:rPr>
        <w:t>November 24, 2025</w:t>
      </w:r>
    </w:p>
    <w:p w14:paraId="69B4D0CD" w14:textId="77777777" w:rsidR="00457ECE" w:rsidRPr="0049676A" w:rsidRDefault="00457ECE" w:rsidP="00B32C6A">
      <w:p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We look forward to receiving your proposals.</w:t>
      </w:r>
    </w:p>
    <w:p w14:paraId="58BB278E" w14:textId="77777777" w:rsidR="00457ECE" w:rsidRPr="0049676A" w:rsidRDefault="00437813" w:rsidP="00B32C6A">
      <w:pPr>
        <w:spacing w:after="0" w:line="360" w:lineRule="auto"/>
        <w:rPr>
          <w:rFonts w:ascii="Calibri" w:eastAsia="Times New Roman" w:hAnsi="Calibri" w:cs="Calibri"/>
          <w:sz w:val="20"/>
          <w:szCs w:val="20"/>
        </w:rPr>
      </w:pPr>
      <w:r w:rsidRPr="0049676A">
        <w:rPr>
          <w:rFonts w:ascii="Calibri" w:eastAsia="Times New Roman" w:hAnsi="Calibri" w:cs="Calibri"/>
          <w:noProof/>
          <w:sz w:val="20"/>
          <w:szCs w:val="20"/>
        </w:rPr>
        <w:pict w14:anchorId="4A81B0F1">
          <v:rect id="_x0000_i1034" alt="" style="width:451.3pt;height:.05pt;mso-width-percent:0;mso-height-percent:0;mso-width-percent:0;mso-height-percent:0" o:hralign="center" o:hrstd="t" o:hr="t" fillcolor="#a0a0a0" stroked="f"/>
        </w:pict>
      </w:r>
    </w:p>
    <w:p w14:paraId="1EE95FAF" w14:textId="3A131B74" w:rsidR="00457ECE" w:rsidRPr="0049676A" w:rsidRDefault="00C035E9" w:rsidP="00B32C6A">
      <w:pPr>
        <w:pBdr>
          <w:bottom w:val="dotted" w:sz="24" w:space="1" w:color="auto"/>
        </w:pBd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b/>
          <w:bCs/>
          <w:sz w:val="20"/>
          <w:szCs w:val="20"/>
        </w:rPr>
        <w:t>JSC Hash Bank</w:t>
      </w:r>
      <w:r w:rsidR="00457ECE" w:rsidRPr="0049676A">
        <w:rPr>
          <w:rFonts w:ascii="Calibri" w:eastAsia="Times New Roman" w:hAnsi="Calibri" w:cs="Calibri"/>
          <w:sz w:val="20"/>
          <w:szCs w:val="20"/>
        </w:rPr>
        <w:br/>
      </w:r>
    </w:p>
    <w:p w14:paraId="7A088208" w14:textId="77777777" w:rsidR="000100B4" w:rsidRPr="0049676A" w:rsidRDefault="000100B4">
      <w:pPr>
        <w:rPr>
          <w:rFonts w:ascii="Calibri" w:eastAsia="Times New Roman" w:hAnsi="Calibri" w:cs="Calibri"/>
          <w:sz w:val="20"/>
          <w:szCs w:val="20"/>
        </w:rPr>
      </w:pPr>
      <w:r w:rsidRPr="0049676A">
        <w:rPr>
          <w:rFonts w:ascii="Calibri" w:eastAsia="Times New Roman" w:hAnsi="Calibri" w:cs="Calibri"/>
          <w:sz w:val="20"/>
          <w:szCs w:val="20"/>
        </w:rPr>
        <w:br w:type="page"/>
      </w:r>
    </w:p>
    <w:p w14:paraId="44362EED" w14:textId="2127E24F" w:rsidR="003E51DA" w:rsidRPr="0049676A" w:rsidRDefault="006D2971" w:rsidP="003E51DA">
      <w:pPr>
        <w:spacing w:before="100" w:beforeAutospacing="1" w:after="100" w:afterAutospacing="1" w:line="360" w:lineRule="auto"/>
        <w:outlineLvl w:val="1"/>
        <w:rPr>
          <w:rFonts w:ascii="Calibri" w:eastAsia="Times New Roman" w:hAnsi="Calibri" w:cs="Calibri"/>
          <w:b/>
          <w:lang w:val="ka-GE"/>
        </w:rPr>
      </w:pPr>
      <w:bookmarkStart w:id="24" w:name="_Toc213152070"/>
      <w:bookmarkStart w:id="25" w:name="_Toc192693614"/>
      <w:r w:rsidRPr="0049676A">
        <w:rPr>
          <w:rFonts w:ascii="Calibri" w:eastAsia="Times New Roman" w:hAnsi="Calibri" w:cs="Calibri"/>
          <w:b/>
          <w:lang w:val="ka-GE"/>
        </w:rPr>
        <w:lastRenderedPageBreak/>
        <w:t>9</w:t>
      </w:r>
      <w:r w:rsidR="00795253" w:rsidRPr="0049676A">
        <w:rPr>
          <w:rFonts w:ascii="Calibri" w:eastAsia="Times New Roman" w:hAnsi="Calibri" w:cs="Calibri"/>
          <w:b/>
          <w:lang w:val="ka-GE"/>
        </w:rPr>
        <w:t xml:space="preserve">. </w:t>
      </w:r>
      <w:r w:rsidR="003E51DA" w:rsidRPr="0049676A">
        <w:rPr>
          <w:rFonts w:ascii="Calibri" w:eastAsia="Times New Roman" w:hAnsi="Calibri" w:cs="Calibri"/>
          <w:b/>
          <w:lang w:val="ka-GE"/>
        </w:rPr>
        <w:t>Blockchain Analytics – Detailed Description</w:t>
      </w:r>
      <w:bookmarkEnd w:id="24"/>
    </w:p>
    <w:p w14:paraId="6DB30DDD"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The selected platform must provide advanced Blockchain Analytics capabilities designed to enhance transparency, compliance, and risk management across digital asset activities. The Application should enable comprehensive monitoring, tracing, and analysis of blockchain transactions across multiple networks to detect illicit activity, ensure AML/CFT compliance, and support regulatory reporting.</w:t>
      </w:r>
    </w:p>
    <w:p w14:paraId="0927DA57"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The solution must support multi-blockchain coverage, including but not limited to Bitcoin (BTC), Ethereum (ETH), Tron, and major stablecoins such as USDT and USDC, as well as emerging Layer 2 protocols. It should allow the Bank to monitor and analyze asset movements across wallets, smart contracts, and cross-chain bridges, providing visibility into the entire transaction lifecycle.</w:t>
      </w:r>
    </w:p>
    <w:p w14:paraId="58EFE33E"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The Application should include entity attribution and wallet clustering functionality, identifying and categorizing wallet addresses associated with exchanges, DeFi platforms, darknet marketplaces, sanctioned entities, or mixers. Advanced risk scoring and behavioral analytics must be integrated to classify addresses and transactions based on exposure levels, transactional patterns, and historical activity.</w:t>
      </w:r>
    </w:p>
    <w:p w14:paraId="05ED9EBD"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To support compliance, the platform must offer automated sanctions screening, integrating regularly updated lists from OFAC, EU, UN, and UK authorities, and flagging any exposure to restricted or high-risk entities. The system should align with FATF Travel Rule requirements, offering configuration options to meet Georgia’s 2027 implementation roadmap, and support integration with existing AML and KYC systems.</w:t>
      </w:r>
    </w:p>
    <w:p w14:paraId="07EF6AA4"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The blockchain analytics tool should include AI/ML-based anomaly detection to identify high-risk activities such as layering, structuring, and the use of mixers or tumblers. It must detect and alert on suspicious transaction flows, including interactions with darknet markets, ransomware addresses, or other typologies associated with financial crime.</w:t>
      </w:r>
    </w:p>
    <w:p w14:paraId="06DACEFA"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A visual analytics dashboard should provide interactive graphing and mapping of on-chain transactions, enabling investigators and compliance teams to trace fund flows in real time. The interface should support multi-entity views, timeline filtering, and annotation capabilities to document investigations for audit or regulatory purposes.</w:t>
      </w:r>
    </w:p>
    <w:p w14:paraId="1343058B"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The platform must maintain data integrity, confidentiality, and full auditability, ensuring a tamper-proof record of analysis and user activities. Data storage and residency must comply with local regulatory requirements, offering configurable options for on-premises or cloud deployment.</w:t>
      </w:r>
    </w:p>
    <w:p w14:paraId="0D386C3B" w14:textId="77777777" w:rsidR="003E51DA" w:rsidRPr="0049676A" w:rsidRDefault="003E51DA" w:rsidP="003E51DA">
      <w:pPr>
        <w:pStyle w:val="NormalWeb"/>
        <w:spacing w:line="360" w:lineRule="auto"/>
        <w:jc w:val="both"/>
        <w:rPr>
          <w:rFonts w:ascii="Calibri" w:hAnsi="Calibri" w:cs="Calibri"/>
          <w:sz w:val="20"/>
          <w:szCs w:val="20"/>
        </w:rPr>
      </w:pPr>
      <w:r w:rsidRPr="0049676A">
        <w:rPr>
          <w:rFonts w:ascii="Calibri" w:hAnsi="Calibri" w:cs="Calibri"/>
          <w:sz w:val="20"/>
          <w:szCs w:val="20"/>
        </w:rPr>
        <w:t>Integration with the Bank’s core banking, compliance, and reporting systems is essential, enabling automated alerts, unified reporting, and streamlined workflows for AML/CFT processes. The platform should support API connectivity for data exchange and seamless integration with third-party compliance databases.</w:t>
      </w:r>
    </w:p>
    <w:p w14:paraId="1C3B68E0" w14:textId="50DD4FAD" w:rsidR="0011611D" w:rsidRPr="0049676A" w:rsidRDefault="003E51DA" w:rsidP="0011611D">
      <w:pPr>
        <w:pStyle w:val="NormalWeb"/>
        <w:spacing w:line="360" w:lineRule="auto"/>
        <w:jc w:val="both"/>
        <w:rPr>
          <w:rFonts w:ascii="Calibri" w:hAnsi="Calibri" w:cs="Calibri"/>
          <w:sz w:val="20"/>
          <w:szCs w:val="20"/>
        </w:rPr>
      </w:pPr>
      <w:r w:rsidRPr="0049676A">
        <w:rPr>
          <w:rFonts w:ascii="Calibri" w:hAnsi="Calibri" w:cs="Calibri"/>
          <w:sz w:val="20"/>
          <w:szCs w:val="20"/>
        </w:rPr>
        <w:lastRenderedPageBreak/>
        <w:t>The proposed Blockchain Analytics solution must adhere to international regulatory and data protection frameworks, including FATF, FINCEN, GDPR, and Basel III, while incorporating automation, advanced analytics, and customizable risk models to enhance compliance effectiveness, operational efficiency, and investigative accuracy.</w:t>
      </w:r>
      <w:bookmarkEnd w:id="25"/>
    </w:p>
    <w:p w14:paraId="259C83B4" w14:textId="77777777" w:rsidR="0011611D" w:rsidRPr="0049676A" w:rsidRDefault="0011611D" w:rsidP="0011611D">
      <w:pPr>
        <w:spacing w:before="100" w:beforeAutospacing="1" w:after="100" w:afterAutospacing="1" w:line="360" w:lineRule="auto"/>
        <w:outlineLvl w:val="1"/>
        <w:rPr>
          <w:rFonts w:ascii="Calibri" w:eastAsia="Times New Roman" w:hAnsi="Calibri" w:cs="Calibri"/>
          <w:b/>
        </w:rPr>
      </w:pPr>
      <w:bookmarkStart w:id="26" w:name="_Toc213152071"/>
      <w:r w:rsidRPr="0049676A">
        <w:rPr>
          <w:rFonts w:ascii="Calibri" w:eastAsia="Times New Roman" w:hAnsi="Calibri" w:cs="Calibri"/>
          <w:b/>
        </w:rPr>
        <w:t>12. Integration &amp; Architecture – Detailed Description</w:t>
      </w:r>
      <w:bookmarkEnd w:id="26"/>
    </w:p>
    <w:p w14:paraId="007556FA" w14:textId="77777777" w:rsidR="0011611D" w:rsidRPr="0049676A" w:rsidRDefault="0011611D" w:rsidP="0011611D">
      <w:pPr>
        <w:pStyle w:val="NormalWeb"/>
        <w:spacing w:line="360" w:lineRule="auto"/>
        <w:jc w:val="both"/>
        <w:rPr>
          <w:rFonts w:ascii="Calibri" w:hAnsi="Calibri" w:cs="Calibri"/>
          <w:sz w:val="20"/>
          <w:szCs w:val="20"/>
        </w:rPr>
      </w:pPr>
      <w:r w:rsidRPr="0049676A">
        <w:rPr>
          <w:rFonts w:ascii="Calibri" w:hAnsi="Calibri" w:cs="Calibri"/>
          <w:sz w:val="20"/>
          <w:szCs w:val="20"/>
        </w:rPr>
        <w:t>The proposed Blockchain Analytics Application must support seamless API-based integration with the Bank’s core banking, payment gateways, AML/KYC, and third-party compliance systems. Deployment should be flexible, supporting cloud-based, on-premises, or hybrid environments.</w:t>
      </w:r>
    </w:p>
    <w:p w14:paraId="30966C58" w14:textId="77777777" w:rsidR="0011611D" w:rsidRPr="0049676A" w:rsidRDefault="0011611D" w:rsidP="0011611D">
      <w:pPr>
        <w:pStyle w:val="NormalWeb"/>
        <w:spacing w:line="360" w:lineRule="auto"/>
        <w:jc w:val="both"/>
        <w:rPr>
          <w:rFonts w:ascii="Calibri" w:hAnsi="Calibri" w:cs="Calibri"/>
          <w:sz w:val="20"/>
          <w:szCs w:val="20"/>
        </w:rPr>
      </w:pPr>
      <w:r w:rsidRPr="0049676A">
        <w:rPr>
          <w:rFonts w:ascii="Calibri" w:hAnsi="Calibri" w:cs="Calibri"/>
          <w:sz w:val="20"/>
          <w:szCs w:val="20"/>
        </w:rPr>
        <w:t>The solution must be scalable and high-performing, capable of processing large volumes of on-chain transactions across multiple blockchains and assets. It should provide multi-channel access via web dashboards, mobile apps, and APIs, offering interactive visualization, wallet clustering, and transaction tracing.</w:t>
      </w:r>
    </w:p>
    <w:p w14:paraId="15C7364D" w14:textId="77777777" w:rsidR="0011611D" w:rsidRPr="0049676A" w:rsidRDefault="0011611D" w:rsidP="0011611D">
      <w:pPr>
        <w:pStyle w:val="NormalWeb"/>
        <w:spacing w:line="360" w:lineRule="auto"/>
        <w:jc w:val="both"/>
        <w:rPr>
          <w:rFonts w:ascii="Calibri" w:hAnsi="Calibri" w:cs="Calibri"/>
          <w:sz w:val="20"/>
          <w:szCs w:val="20"/>
        </w:rPr>
      </w:pPr>
      <w:r w:rsidRPr="0049676A">
        <w:rPr>
          <w:rFonts w:ascii="Calibri" w:hAnsi="Calibri" w:cs="Calibri"/>
          <w:sz w:val="20"/>
          <w:szCs w:val="20"/>
        </w:rPr>
        <w:t>Security is essential, with end-to-end encryption, role-based access controls (RBAC), and multi-factor authentication (MFA) to safeguard sensitive data. The system must include audit trails and logging for transparency and regulatory compliance.</w:t>
      </w:r>
    </w:p>
    <w:p w14:paraId="776F99A4" w14:textId="6A58D6F3" w:rsidR="0011611D" w:rsidRPr="0049676A" w:rsidRDefault="0011611D" w:rsidP="00B32C6A">
      <w:pPr>
        <w:pStyle w:val="NormalWeb"/>
        <w:spacing w:line="360" w:lineRule="auto"/>
        <w:jc w:val="both"/>
        <w:rPr>
          <w:rFonts w:ascii="Calibri" w:hAnsi="Calibri" w:cs="Calibri"/>
          <w:sz w:val="20"/>
          <w:szCs w:val="20"/>
        </w:rPr>
      </w:pPr>
      <w:r w:rsidRPr="0049676A">
        <w:rPr>
          <w:rFonts w:ascii="Calibri" w:hAnsi="Calibri" w:cs="Calibri"/>
          <w:sz w:val="20"/>
          <w:szCs w:val="20"/>
        </w:rPr>
        <w:t>The goal is to provide a robust, secure, and easily integrable platform that supports efficient blockchain monitoring, risk detection, and seamless workflow integration within the Bank’s existing infrastructure.</w:t>
      </w:r>
    </w:p>
    <w:p w14:paraId="7F2ED3FF" w14:textId="631034F6" w:rsidR="002A499A" w:rsidRPr="0049676A" w:rsidRDefault="002A499A" w:rsidP="002A499A">
      <w:pPr>
        <w:spacing w:before="100" w:beforeAutospacing="1" w:after="100" w:afterAutospacing="1" w:line="360" w:lineRule="auto"/>
        <w:outlineLvl w:val="1"/>
        <w:rPr>
          <w:rFonts w:ascii="Calibri" w:eastAsia="Times New Roman" w:hAnsi="Calibri" w:cs="Calibri"/>
          <w:b/>
        </w:rPr>
      </w:pPr>
      <w:bookmarkStart w:id="27" w:name="_Toc213152072"/>
      <w:r w:rsidRPr="0049676A">
        <w:rPr>
          <w:rFonts w:ascii="Calibri" w:eastAsia="Times New Roman" w:hAnsi="Calibri" w:cs="Calibri"/>
          <w:b/>
        </w:rPr>
        <w:t>1</w:t>
      </w:r>
      <w:r w:rsidR="006D2971" w:rsidRPr="0049676A">
        <w:rPr>
          <w:rFonts w:ascii="Calibri" w:eastAsia="Times New Roman" w:hAnsi="Calibri" w:cs="Calibri"/>
          <w:b/>
          <w:lang w:val="ka-GE"/>
        </w:rPr>
        <w:t>3</w:t>
      </w:r>
      <w:r w:rsidRPr="0049676A">
        <w:rPr>
          <w:rFonts w:ascii="Calibri" w:eastAsia="Times New Roman" w:hAnsi="Calibri" w:cs="Calibri"/>
          <w:b/>
        </w:rPr>
        <w:t xml:space="preserve">. </w:t>
      </w:r>
      <w:r w:rsidRPr="0049676A">
        <w:rPr>
          <w:rFonts w:ascii="Calibri" w:eastAsia="Times New Roman" w:hAnsi="Calibri" w:cs="Calibri"/>
          <w:b/>
          <w:bCs/>
          <w:sz w:val="20"/>
          <w:szCs w:val="20"/>
        </w:rPr>
        <w:t xml:space="preserve">Knowledge Transfer &amp; Consulting </w:t>
      </w:r>
      <w:r w:rsidRPr="0049676A">
        <w:rPr>
          <w:rFonts w:ascii="Calibri" w:eastAsia="Times New Roman" w:hAnsi="Calibri" w:cs="Calibri"/>
          <w:b/>
        </w:rPr>
        <w:t>- Detailed Description</w:t>
      </w:r>
      <w:bookmarkEnd w:id="27"/>
    </w:p>
    <w:p w14:paraId="34498377" w14:textId="7C91D8B5" w:rsidR="0011611D" w:rsidRPr="0049676A" w:rsidRDefault="0011611D" w:rsidP="0011611D">
      <w:p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As part of the knowledge transfer and consulting process, the Vendor must collaborate closely with the Bank’s internal teams—including compliance, risk, analytics, and product development—to ensure a thorough understanding of blockchain ecosystems, digital asset workflows, and operational requirements. This collaboration should focus on equipping internal teams with the skills and insights needed to maximize the effectiveness of the Blockchain Analytics platform.</w:t>
      </w:r>
    </w:p>
    <w:p w14:paraId="03453464" w14:textId="77777777" w:rsidR="0011611D" w:rsidRPr="0049676A" w:rsidRDefault="0011611D" w:rsidP="0011611D">
      <w:p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 Vendor is expected to deliver comprehensive documentation, including but not limited to:</w:t>
      </w:r>
    </w:p>
    <w:p w14:paraId="10F790BC"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Detailed use case descriptions for blockchain monitoring, transaction tracing, and risk detection</w:t>
      </w:r>
    </w:p>
    <w:p w14:paraId="04783CD1"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Parameter definitions and configuration guidelines for wallet risk scoring, anomaly detection, and alert thresholds</w:t>
      </w:r>
    </w:p>
    <w:p w14:paraId="13C1D11B"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Data mapping guides for integrating blockchain analytics outputs with existing AML, KYC, and core banking systems</w:t>
      </w:r>
    </w:p>
    <w:p w14:paraId="0D7FAE9C"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Regulatory and business logic explanations, including sanctions screening, FATF Travel Rule compliance, and local Georgian regulations</w:t>
      </w:r>
    </w:p>
    <w:p w14:paraId="765A5A2E"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Step-by-step operational procedures for investigative workflows and reporting</w:t>
      </w:r>
    </w:p>
    <w:p w14:paraId="034289CE" w14:textId="77777777" w:rsidR="0011611D" w:rsidRPr="0049676A" w:rsidRDefault="0011611D" w:rsidP="0011611D">
      <w:p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lastRenderedPageBreak/>
        <w:t>The objective is to enable the successful launch, adoption, and ongoing refinement of blockchain analytics capabilities. Internal teams should gain the context and clarity needed to configure, calibrate, and validate analytical models, including entity clustering, transaction pattern analysis, and risk scoring frameworks.</w:t>
      </w:r>
    </w:p>
    <w:p w14:paraId="2AAD5750" w14:textId="77777777" w:rsidR="0011611D" w:rsidRPr="0049676A" w:rsidRDefault="0011611D" w:rsidP="0011611D">
      <w:p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Additionally, the Vendor should provide hands-on training and consulting sessions, including:</w:t>
      </w:r>
    </w:p>
    <w:p w14:paraId="56FB69BC"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Interactive workshops on the platform’s analytical tools and investigative dashboards</w:t>
      </w:r>
    </w:p>
    <w:p w14:paraId="061441B1"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Guidance on interpreting blockchain transaction graphs and visualizations</w:t>
      </w:r>
    </w:p>
    <w:p w14:paraId="5228E875"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Best practices for integrating blockchain insights into AML/CFT decision-making and regulatory reporting</w:t>
      </w:r>
    </w:p>
    <w:p w14:paraId="066AC373" w14:textId="77777777" w:rsidR="0011611D" w:rsidRPr="0049676A" w:rsidRDefault="0011611D" w:rsidP="0011611D">
      <w:pPr>
        <w:numPr>
          <w:ilvl w:val="0"/>
          <w:numId w:val="3"/>
        </w:numPr>
        <w:spacing w:before="100" w:beforeAutospacing="1" w:after="100" w:afterAutospacing="1" w:line="360" w:lineRule="auto"/>
        <w:rPr>
          <w:rFonts w:ascii="Calibri" w:eastAsia="Times New Roman" w:hAnsi="Calibri" w:cs="Calibri"/>
          <w:sz w:val="20"/>
          <w:szCs w:val="20"/>
        </w:rPr>
      </w:pPr>
      <w:r w:rsidRPr="0049676A">
        <w:rPr>
          <w:rFonts w:ascii="Calibri" w:eastAsia="Times New Roman" w:hAnsi="Calibri" w:cs="Calibri"/>
          <w:sz w:val="20"/>
          <w:szCs w:val="20"/>
        </w:rPr>
        <w:t>Ongoing advisory support for emerging threats, updates in blockchain networks, and evolving regulatory expectations</w:t>
      </w:r>
    </w:p>
    <w:p w14:paraId="48D8B851" w14:textId="77777777" w:rsidR="0011611D" w:rsidRPr="0049676A" w:rsidRDefault="0011611D" w:rsidP="0011611D">
      <w:pPr>
        <w:spacing w:before="100" w:beforeAutospacing="1" w:after="100" w:afterAutospacing="1" w:line="240" w:lineRule="auto"/>
        <w:rPr>
          <w:rFonts w:ascii="Calibri" w:eastAsia="Times New Roman" w:hAnsi="Calibri" w:cs="Calibri"/>
          <w:sz w:val="20"/>
          <w:szCs w:val="20"/>
        </w:rPr>
      </w:pPr>
      <w:r w:rsidRPr="0049676A">
        <w:rPr>
          <w:rFonts w:ascii="Calibri" w:eastAsia="Times New Roman" w:hAnsi="Calibri" w:cs="Calibri"/>
          <w:sz w:val="20"/>
          <w:szCs w:val="20"/>
        </w:rPr>
        <w:t>The goal is to ensure that Bank staff are fully empowered to leverage the Blockchain Analytics platform for risk detection, compliance, and operational efficiency, creating a self-sustaining capability while maintaining alignment with international regulatory frameworks and local requirements.</w:t>
      </w:r>
    </w:p>
    <w:p w14:paraId="22FCA41B" w14:textId="77777777" w:rsidR="00B208B9" w:rsidRPr="0049676A" w:rsidRDefault="00B208B9" w:rsidP="002A499A">
      <w:pPr>
        <w:spacing w:before="100" w:beforeAutospacing="1" w:after="100" w:afterAutospacing="1" w:line="360" w:lineRule="auto"/>
        <w:jc w:val="both"/>
        <w:rPr>
          <w:rFonts w:ascii="Calibri" w:eastAsia="Times New Roman" w:hAnsi="Calibri" w:cs="Calibri"/>
          <w:sz w:val="20"/>
          <w:szCs w:val="20"/>
        </w:rPr>
      </w:pPr>
    </w:p>
    <w:p w14:paraId="635ADBA2" w14:textId="652A7AD0" w:rsidR="00335453" w:rsidRPr="0049676A" w:rsidRDefault="00335453" w:rsidP="002A499A">
      <w:pPr>
        <w:pStyle w:val="NormalWeb"/>
        <w:spacing w:line="360" w:lineRule="auto"/>
        <w:jc w:val="both"/>
        <w:rPr>
          <w:rFonts w:ascii="Calibri" w:hAnsi="Calibri" w:cs="Calibri"/>
          <w:b/>
          <w:bCs/>
          <w:sz w:val="20"/>
          <w:szCs w:val="20"/>
        </w:rPr>
      </w:pPr>
      <w:r w:rsidRPr="0049676A">
        <w:rPr>
          <w:rFonts w:ascii="Calibri" w:hAnsi="Calibri" w:cs="Calibri"/>
          <w:b/>
          <w:bCs/>
          <w:sz w:val="20"/>
          <w:szCs w:val="20"/>
        </w:rPr>
        <w:t>Annex #1</w:t>
      </w:r>
    </w:p>
    <w:p w14:paraId="15828912" w14:textId="77777777"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A legal form and full name of the bidder:</w:t>
      </w:r>
    </w:p>
    <w:p w14:paraId="329CE7ED" w14:textId="021412E7"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Identification Code:</w:t>
      </w:r>
    </w:p>
    <w:p w14:paraId="5725CA29" w14:textId="315D55BD" w:rsidR="007770C0" w:rsidRPr="0049676A" w:rsidRDefault="007770C0" w:rsidP="002A499A">
      <w:pPr>
        <w:pStyle w:val="NormalWeb"/>
        <w:spacing w:line="360" w:lineRule="auto"/>
        <w:jc w:val="both"/>
        <w:rPr>
          <w:rFonts w:ascii="Calibri" w:hAnsi="Calibri" w:cs="Calibri"/>
          <w:sz w:val="20"/>
          <w:szCs w:val="20"/>
          <w:lang w:val="ka-GE"/>
        </w:rPr>
      </w:pPr>
      <w:r w:rsidRPr="0049676A">
        <w:rPr>
          <w:rFonts w:ascii="Calibri" w:hAnsi="Calibri" w:cs="Calibri"/>
          <w:sz w:val="20"/>
          <w:szCs w:val="20"/>
        </w:rPr>
        <w:t>Legal Address of the Bidder</w:t>
      </w:r>
      <w:r w:rsidRPr="0049676A">
        <w:rPr>
          <w:rFonts w:ascii="Calibri" w:hAnsi="Calibri" w:cs="Calibri"/>
          <w:sz w:val="20"/>
          <w:szCs w:val="20"/>
          <w:lang w:val="ka-GE"/>
        </w:rPr>
        <w:t>:</w:t>
      </w:r>
    </w:p>
    <w:p w14:paraId="173B8621" w14:textId="1BBCCFD9"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Position, name and surname of the contact person:</w:t>
      </w:r>
    </w:p>
    <w:p w14:paraId="391A291E" w14:textId="357E86F5"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 xml:space="preserve">Email, Telephone: </w:t>
      </w:r>
    </w:p>
    <w:p w14:paraId="40696C6D" w14:textId="77777777"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 xml:space="preserve">Service bank: </w:t>
      </w:r>
    </w:p>
    <w:p w14:paraId="468F49B6" w14:textId="77777777"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SWIFT code:</w:t>
      </w:r>
    </w:p>
    <w:p w14:paraId="13B5BD53" w14:textId="6BE92C69"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 xml:space="preserve">Acc. number: </w:t>
      </w:r>
    </w:p>
    <w:p w14:paraId="131D0371" w14:textId="77777777"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1. Total price of the tender proposal</w:t>
      </w:r>
    </w:p>
    <w:p w14:paraId="2BF13EB2" w14:textId="77777777" w:rsidR="00335453"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 xml:space="preserve">2. Payment term: </w:t>
      </w:r>
    </w:p>
    <w:p w14:paraId="525E14A7" w14:textId="5540A470" w:rsidR="00520B07" w:rsidRPr="0049676A" w:rsidRDefault="00335453" w:rsidP="002A499A">
      <w:pPr>
        <w:pStyle w:val="NormalWeb"/>
        <w:spacing w:line="360" w:lineRule="auto"/>
        <w:jc w:val="both"/>
        <w:rPr>
          <w:rFonts w:ascii="Calibri" w:hAnsi="Calibri" w:cs="Calibri"/>
          <w:sz w:val="20"/>
          <w:szCs w:val="20"/>
        </w:rPr>
      </w:pPr>
      <w:r w:rsidRPr="0049676A">
        <w:rPr>
          <w:rFonts w:ascii="Calibri" w:hAnsi="Calibri" w:cs="Calibri"/>
          <w:sz w:val="20"/>
          <w:szCs w:val="20"/>
        </w:rPr>
        <w:t>3. Service Delivery Time:</w:t>
      </w:r>
    </w:p>
    <w:p w14:paraId="222393A7" w14:textId="49E436DF" w:rsidR="00520B07" w:rsidRPr="0049676A" w:rsidRDefault="00520B07" w:rsidP="002A499A">
      <w:pPr>
        <w:pStyle w:val="NormalWeb"/>
        <w:spacing w:line="360" w:lineRule="auto"/>
        <w:jc w:val="both"/>
        <w:rPr>
          <w:rFonts w:ascii="Calibri" w:hAnsi="Calibri" w:cs="Calibri"/>
          <w:sz w:val="20"/>
          <w:szCs w:val="20"/>
        </w:rPr>
      </w:pPr>
    </w:p>
    <w:p w14:paraId="1C2E5FD3" w14:textId="274B6306" w:rsidR="007770C0" w:rsidRPr="0049676A" w:rsidRDefault="007770C0" w:rsidP="002A499A">
      <w:pPr>
        <w:pStyle w:val="NormalWeb"/>
        <w:spacing w:line="360" w:lineRule="auto"/>
        <w:jc w:val="both"/>
        <w:rPr>
          <w:rFonts w:ascii="Calibri" w:hAnsi="Calibri" w:cs="Calibri"/>
          <w:sz w:val="20"/>
          <w:szCs w:val="20"/>
        </w:rPr>
      </w:pPr>
      <w:r w:rsidRPr="0049676A">
        <w:rPr>
          <w:rFonts w:ascii="Calibri" w:hAnsi="Calibri" w:cs="Calibri"/>
          <w:sz w:val="20"/>
          <w:szCs w:val="20"/>
        </w:rPr>
        <w:lastRenderedPageBreak/>
        <w:t xml:space="preserve">Signature of the </w:t>
      </w:r>
      <w:r w:rsidR="0011611D" w:rsidRPr="0049676A">
        <w:rPr>
          <w:rFonts w:ascii="Calibri" w:hAnsi="Calibri" w:cs="Calibri"/>
          <w:sz w:val="20"/>
          <w:szCs w:val="20"/>
        </w:rPr>
        <w:t xml:space="preserve">bidder (Stamp)  </w:t>
      </w:r>
      <w:r w:rsidRPr="0049676A">
        <w:rPr>
          <w:rFonts w:ascii="Calibri" w:hAnsi="Calibri" w:cs="Calibri"/>
          <w:sz w:val="20"/>
          <w:szCs w:val="20"/>
        </w:rPr>
        <w:t xml:space="preserve">                 ________________________________ </w:t>
      </w:r>
    </w:p>
    <w:p w14:paraId="4BB246DC" w14:textId="115538A5" w:rsidR="007770C0" w:rsidRPr="0049676A" w:rsidRDefault="007770C0" w:rsidP="002A499A">
      <w:pPr>
        <w:pStyle w:val="NormalWeb"/>
        <w:spacing w:line="360" w:lineRule="auto"/>
        <w:jc w:val="both"/>
        <w:rPr>
          <w:rFonts w:ascii="Calibri" w:hAnsi="Calibri" w:cs="Calibri"/>
          <w:sz w:val="20"/>
          <w:szCs w:val="20"/>
        </w:rPr>
      </w:pPr>
    </w:p>
    <w:p w14:paraId="0D6AD9CD" w14:textId="7EC02B14" w:rsidR="007770C0" w:rsidRPr="0049676A" w:rsidRDefault="007770C0" w:rsidP="002A499A">
      <w:pPr>
        <w:pStyle w:val="NormalWeb"/>
        <w:spacing w:line="360" w:lineRule="auto"/>
        <w:jc w:val="both"/>
        <w:rPr>
          <w:rFonts w:ascii="Calibri" w:hAnsi="Calibri" w:cs="Calibri"/>
          <w:b/>
          <w:bCs/>
          <w:sz w:val="20"/>
          <w:szCs w:val="20"/>
          <w:lang w:val="ka-GE"/>
        </w:rPr>
      </w:pPr>
      <w:r w:rsidRPr="0049676A">
        <w:rPr>
          <w:rFonts w:ascii="Calibri" w:hAnsi="Calibri" w:cs="Calibri"/>
          <w:b/>
          <w:bCs/>
          <w:sz w:val="20"/>
          <w:szCs w:val="20"/>
        </w:rPr>
        <w:t>Annex #</w:t>
      </w:r>
      <w:r w:rsidRPr="0049676A">
        <w:rPr>
          <w:rFonts w:ascii="Calibri" w:hAnsi="Calibri" w:cs="Calibri"/>
          <w:b/>
          <w:bCs/>
          <w:sz w:val="20"/>
          <w:szCs w:val="20"/>
          <w:lang w:val="ka-GE"/>
        </w:rPr>
        <w:t>2</w:t>
      </w:r>
    </w:p>
    <w:p w14:paraId="2261D811" w14:textId="31D7240C" w:rsidR="006D2971" w:rsidRPr="0049676A" w:rsidRDefault="00ED2C03" w:rsidP="002A499A">
      <w:pPr>
        <w:pStyle w:val="NormalWeb"/>
        <w:spacing w:line="360" w:lineRule="auto"/>
        <w:jc w:val="both"/>
        <w:rPr>
          <w:rFonts w:ascii="Calibri" w:hAnsi="Calibri" w:cs="Calibri"/>
          <w:b/>
          <w:bCs/>
          <w:sz w:val="20"/>
          <w:szCs w:val="20"/>
        </w:rPr>
      </w:pPr>
      <w:r w:rsidRPr="0049676A">
        <w:rPr>
          <w:rFonts w:ascii="Calibri" w:hAnsi="Calibri" w:cs="Calibri"/>
          <w:b/>
          <w:bCs/>
          <w:sz w:val="20"/>
          <w:szCs w:val="20"/>
        </w:rPr>
        <w:t>PRICE AND DELIVERY SCHEDULE</w:t>
      </w:r>
    </w:p>
    <w:tbl>
      <w:tblPr>
        <w:tblW w:w="8768" w:type="dxa"/>
        <w:tblLook w:val="04A0" w:firstRow="1" w:lastRow="0" w:firstColumn="1" w:lastColumn="0" w:noHBand="0" w:noVBand="1"/>
      </w:tblPr>
      <w:tblGrid>
        <w:gridCol w:w="538"/>
        <w:gridCol w:w="2521"/>
        <w:gridCol w:w="1614"/>
        <w:gridCol w:w="1559"/>
        <w:gridCol w:w="2536"/>
      </w:tblGrid>
      <w:tr w:rsidR="00ED2C03" w:rsidRPr="0049676A" w14:paraId="2BA33B58" w14:textId="77777777" w:rsidTr="00ED2C03">
        <w:trPr>
          <w:trHeight w:val="349"/>
        </w:trPr>
        <w:tc>
          <w:tcPr>
            <w:tcW w:w="538" w:type="dxa"/>
            <w:tcBorders>
              <w:top w:val="single" w:sz="4" w:space="0" w:color="auto"/>
              <w:left w:val="single" w:sz="4" w:space="0" w:color="auto"/>
              <w:bottom w:val="single" w:sz="4" w:space="0" w:color="auto"/>
              <w:right w:val="single" w:sz="4" w:space="0" w:color="auto"/>
            </w:tcBorders>
            <w:shd w:val="clear" w:color="000000" w:fill="DA9BF3"/>
            <w:vAlign w:val="bottom"/>
            <w:hideMark/>
          </w:tcPr>
          <w:p w14:paraId="1065C71F" w14:textId="7E86F6A8" w:rsidR="006D2971" w:rsidRPr="0049676A" w:rsidRDefault="006D2971" w:rsidP="00ED2C03">
            <w:pPr>
              <w:spacing w:after="0" w:line="240" w:lineRule="auto"/>
              <w:jc w:val="center"/>
              <w:rPr>
                <w:rFonts w:ascii="Calibri" w:eastAsia="Times New Roman" w:hAnsi="Calibri" w:cs="Calibri"/>
                <w:b/>
                <w:bCs/>
                <w:color w:val="000000"/>
                <w:sz w:val="20"/>
                <w:szCs w:val="20"/>
              </w:rPr>
            </w:pPr>
            <w:r w:rsidRPr="0049676A">
              <w:rPr>
                <w:rFonts w:ascii="Calibri" w:eastAsia="Times New Roman" w:hAnsi="Calibri" w:cs="Calibri"/>
                <w:b/>
                <w:bCs/>
                <w:color w:val="000000"/>
                <w:sz w:val="20"/>
                <w:szCs w:val="20"/>
              </w:rPr>
              <w:t>N</w:t>
            </w:r>
          </w:p>
        </w:tc>
        <w:tc>
          <w:tcPr>
            <w:tcW w:w="2521" w:type="dxa"/>
            <w:tcBorders>
              <w:top w:val="single" w:sz="4" w:space="0" w:color="auto"/>
              <w:left w:val="nil"/>
              <w:bottom w:val="single" w:sz="4" w:space="0" w:color="auto"/>
              <w:right w:val="single" w:sz="4" w:space="0" w:color="auto"/>
            </w:tcBorders>
            <w:shd w:val="clear" w:color="000000" w:fill="DA9BF3"/>
            <w:noWrap/>
            <w:vAlign w:val="bottom"/>
            <w:hideMark/>
          </w:tcPr>
          <w:p w14:paraId="2B94A862" w14:textId="77777777" w:rsidR="006D2971" w:rsidRPr="0049676A" w:rsidRDefault="006D2971" w:rsidP="00ED2C03">
            <w:pPr>
              <w:spacing w:after="0" w:line="240" w:lineRule="auto"/>
              <w:rPr>
                <w:rFonts w:ascii="Calibri" w:eastAsia="Times New Roman" w:hAnsi="Calibri" w:cs="Calibri"/>
                <w:b/>
                <w:bCs/>
                <w:color w:val="000000"/>
                <w:sz w:val="20"/>
                <w:szCs w:val="20"/>
              </w:rPr>
            </w:pPr>
            <w:r w:rsidRPr="0049676A">
              <w:rPr>
                <w:rFonts w:ascii="Calibri" w:eastAsia="Times New Roman" w:hAnsi="Calibri" w:cs="Calibri"/>
                <w:b/>
                <w:bCs/>
                <w:color w:val="000000"/>
                <w:sz w:val="20"/>
                <w:szCs w:val="20"/>
              </w:rPr>
              <w:t>Name of the service</w:t>
            </w:r>
          </w:p>
        </w:tc>
        <w:tc>
          <w:tcPr>
            <w:tcW w:w="1614" w:type="dxa"/>
            <w:tcBorders>
              <w:top w:val="single" w:sz="4" w:space="0" w:color="auto"/>
              <w:left w:val="nil"/>
              <w:bottom w:val="single" w:sz="4" w:space="0" w:color="auto"/>
              <w:right w:val="single" w:sz="4" w:space="0" w:color="auto"/>
            </w:tcBorders>
            <w:shd w:val="clear" w:color="000000" w:fill="DA9BF3"/>
            <w:noWrap/>
            <w:vAlign w:val="bottom"/>
            <w:hideMark/>
          </w:tcPr>
          <w:p w14:paraId="010C9351" w14:textId="0FFB07ED" w:rsidR="006D2971" w:rsidRPr="0049676A" w:rsidRDefault="00ED2C03" w:rsidP="00ED2C03">
            <w:pPr>
              <w:spacing w:after="0" w:line="240" w:lineRule="auto"/>
              <w:rPr>
                <w:rFonts w:ascii="Calibri" w:eastAsia="Times New Roman" w:hAnsi="Calibri" w:cs="Calibri"/>
                <w:b/>
                <w:bCs/>
                <w:color w:val="000000"/>
                <w:sz w:val="20"/>
                <w:szCs w:val="20"/>
              </w:rPr>
            </w:pPr>
            <w:r w:rsidRPr="0049676A">
              <w:rPr>
                <w:rFonts w:ascii="Calibri" w:eastAsia="Times New Roman" w:hAnsi="Calibri" w:cs="Calibri"/>
                <w:b/>
                <w:bCs/>
                <w:color w:val="000000"/>
                <w:sz w:val="20"/>
                <w:szCs w:val="20"/>
              </w:rPr>
              <w:t>P</w:t>
            </w:r>
            <w:r w:rsidR="006D2971" w:rsidRPr="0049676A">
              <w:rPr>
                <w:rFonts w:ascii="Calibri" w:eastAsia="Times New Roman" w:hAnsi="Calibri" w:cs="Calibri"/>
                <w:b/>
                <w:bCs/>
                <w:color w:val="000000"/>
                <w:sz w:val="20"/>
                <w:szCs w:val="20"/>
              </w:rPr>
              <w:t>rice (USD)</w:t>
            </w:r>
            <w:r w:rsidRPr="0049676A">
              <w:rPr>
                <w:rFonts w:ascii="Calibri" w:hAnsi="Calibri" w:cs="Calibri"/>
              </w:rPr>
              <w:t xml:space="preserve"> excluding VAT</w:t>
            </w:r>
          </w:p>
        </w:tc>
        <w:tc>
          <w:tcPr>
            <w:tcW w:w="1559" w:type="dxa"/>
            <w:tcBorders>
              <w:top w:val="single" w:sz="4" w:space="0" w:color="auto"/>
              <w:left w:val="nil"/>
              <w:bottom w:val="single" w:sz="4" w:space="0" w:color="auto"/>
              <w:right w:val="single" w:sz="4" w:space="0" w:color="auto"/>
            </w:tcBorders>
            <w:shd w:val="clear" w:color="000000" w:fill="DA9BF3"/>
            <w:noWrap/>
            <w:vAlign w:val="bottom"/>
            <w:hideMark/>
          </w:tcPr>
          <w:p w14:paraId="5A7C4A7D" w14:textId="77777777" w:rsidR="006D2971" w:rsidRPr="0049676A" w:rsidRDefault="006D2971" w:rsidP="00ED2C03">
            <w:pPr>
              <w:spacing w:after="0" w:line="240" w:lineRule="auto"/>
              <w:rPr>
                <w:rFonts w:ascii="Calibri" w:eastAsia="Times New Roman" w:hAnsi="Calibri" w:cs="Calibri"/>
                <w:b/>
                <w:bCs/>
                <w:color w:val="000000"/>
                <w:sz w:val="20"/>
                <w:szCs w:val="20"/>
              </w:rPr>
            </w:pPr>
            <w:r w:rsidRPr="0049676A">
              <w:rPr>
                <w:rFonts w:ascii="Calibri" w:eastAsia="Times New Roman" w:hAnsi="Calibri" w:cs="Calibri"/>
                <w:b/>
                <w:bCs/>
                <w:color w:val="000000"/>
                <w:sz w:val="20"/>
                <w:szCs w:val="20"/>
              </w:rPr>
              <w:t>Delivery time</w:t>
            </w:r>
          </w:p>
        </w:tc>
        <w:tc>
          <w:tcPr>
            <w:tcW w:w="2536" w:type="dxa"/>
            <w:tcBorders>
              <w:top w:val="single" w:sz="4" w:space="0" w:color="auto"/>
              <w:left w:val="nil"/>
              <w:bottom w:val="single" w:sz="4" w:space="0" w:color="auto"/>
              <w:right w:val="single" w:sz="4" w:space="0" w:color="auto"/>
            </w:tcBorders>
            <w:shd w:val="clear" w:color="000000" w:fill="DA9BF3"/>
            <w:noWrap/>
            <w:vAlign w:val="bottom"/>
            <w:hideMark/>
          </w:tcPr>
          <w:p w14:paraId="6D4282DD" w14:textId="202CFF72" w:rsidR="006D2971" w:rsidRPr="0049676A" w:rsidRDefault="00146BAA" w:rsidP="00ED2C03">
            <w:pPr>
              <w:spacing w:after="0" w:line="240" w:lineRule="auto"/>
              <w:rPr>
                <w:rFonts w:ascii="Calibri" w:eastAsia="Times New Roman" w:hAnsi="Calibri" w:cs="Calibri"/>
                <w:b/>
                <w:bCs/>
                <w:color w:val="000000"/>
                <w:sz w:val="20"/>
                <w:szCs w:val="20"/>
              </w:rPr>
            </w:pPr>
            <w:r w:rsidRPr="0049676A">
              <w:rPr>
                <w:rFonts w:ascii="Calibri" w:eastAsia="Times New Roman" w:hAnsi="Calibri" w:cs="Calibri"/>
                <w:b/>
                <w:bCs/>
                <w:color w:val="000000"/>
                <w:sz w:val="20"/>
                <w:szCs w:val="20"/>
              </w:rPr>
              <w:t>Payment term</w:t>
            </w:r>
          </w:p>
        </w:tc>
      </w:tr>
      <w:tr w:rsidR="00ED2C03" w:rsidRPr="0049676A" w14:paraId="45E1C642" w14:textId="77777777" w:rsidTr="00ED2C03">
        <w:trPr>
          <w:trHeight w:val="369"/>
        </w:trPr>
        <w:tc>
          <w:tcPr>
            <w:tcW w:w="538" w:type="dxa"/>
            <w:tcBorders>
              <w:top w:val="nil"/>
              <w:left w:val="single" w:sz="4" w:space="0" w:color="auto"/>
              <w:bottom w:val="single" w:sz="4" w:space="0" w:color="auto"/>
              <w:right w:val="single" w:sz="4" w:space="0" w:color="auto"/>
            </w:tcBorders>
            <w:noWrap/>
            <w:vAlign w:val="bottom"/>
            <w:hideMark/>
          </w:tcPr>
          <w:p w14:paraId="3028578A" w14:textId="77777777" w:rsidR="006D2971" w:rsidRPr="0049676A" w:rsidRDefault="006D2971" w:rsidP="00ED2C03">
            <w:pPr>
              <w:spacing w:after="0" w:line="240" w:lineRule="auto"/>
              <w:jc w:val="center"/>
              <w:rPr>
                <w:rFonts w:ascii="Calibri" w:eastAsia="Times New Roman" w:hAnsi="Calibri" w:cs="Calibri"/>
                <w:color w:val="000000"/>
                <w:sz w:val="20"/>
                <w:szCs w:val="20"/>
              </w:rPr>
            </w:pPr>
            <w:r w:rsidRPr="0049676A">
              <w:rPr>
                <w:rFonts w:ascii="Calibri" w:eastAsia="Times New Roman" w:hAnsi="Calibri" w:cs="Calibri"/>
                <w:color w:val="000000"/>
                <w:sz w:val="20"/>
                <w:szCs w:val="20"/>
              </w:rPr>
              <w:t>1</w:t>
            </w:r>
          </w:p>
        </w:tc>
        <w:tc>
          <w:tcPr>
            <w:tcW w:w="2521" w:type="dxa"/>
            <w:tcBorders>
              <w:top w:val="nil"/>
              <w:left w:val="nil"/>
              <w:bottom w:val="single" w:sz="4" w:space="0" w:color="auto"/>
              <w:right w:val="single" w:sz="4" w:space="0" w:color="auto"/>
            </w:tcBorders>
            <w:noWrap/>
            <w:vAlign w:val="bottom"/>
            <w:hideMark/>
          </w:tcPr>
          <w:p w14:paraId="16B3284B" w14:textId="258EB62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Implementation Price</w:t>
            </w:r>
          </w:p>
        </w:tc>
        <w:tc>
          <w:tcPr>
            <w:tcW w:w="1614" w:type="dxa"/>
            <w:tcBorders>
              <w:top w:val="nil"/>
              <w:left w:val="nil"/>
              <w:bottom w:val="single" w:sz="4" w:space="0" w:color="auto"/>
              <w:right w:val="single" w:sz="4" w:space="0" w:color="auto"/>
            </w:tcBorders>
            <w:noWrap/>
            <w:vAlign w:val="bottom"/>
            <w:hideMark/>
          </w:tcPr>
          <w:p w14:paraId="721D92F2"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1559" w:type="dxa"/>
            <w:tcBorders>
              <w:top w:val="nil"/>
              <w:left w:val="nil"/>
              <w:bottom w:val="single" w:sz="4" w:space="0" w:color="auto"/>
              <w:right w:val="single" w:sz="4" w:space="0" w:color="auto"/>
            </w:tcBorders>
            <w:noWrap/>
            <w:vAlign w:val="bottom"/>
            <w:hideMark/>
          </w:tcPr>
          <w:p w14:paraId="739B359D"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2536" w:type="dxa"/>
            <w:tcBorders>
              <w:top w:val="nil"/>
              <w:left w:val="nil"/>
              <w:bottom w:val="single" w:sz="4" w:space="0" w:color="auto"/>
              <w:right w:val="single" w:sz="4" w:space="0" w:color="auto"/>
            </w:tcBorders>
            <w:noWrap/>
            <w:vAlign w:val="bottom"/>
            <w:hideMark/>
          </w:tcPr>
          <w:p w14:paraId="2464B0DD"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r>
      <w:tr w:rsidR="00ED2C03" w:rsidRPr="0049676A" w14:paraId="72B1EBCF" w14:textId="77777777" w:rsidTr="00ED2C03">
        <w:trPr>
          <w:trHeight w:val="261"/>
        </w:trPr>
        <w:tc>
          <w:tcPr>
            <w:tcW w:w="538" w:type="dxa"/>
            <w:tcBorders>
              <w:top w:val="nil"/>
              <w:left w:val="single" w:sz="4" w:space="0" w:color="auto"/>
              <w:bottom w:val="single" w:sz="4" w:space="0" w:color="auto"/>
              <w:right w:val="single" w:sz="4" w:space="0" w:color="auto"/>
            </w:tcBorders>
            <w:noWrap/>
            <w:vAlign w:val="bottom"/>
            <w:hideMark/>
          </w:tcPr>
          <w:p w14:paraId="017F9FC2" w14:textId="77777777" w:rsidR="006D2971" w:rsidRPr="0049676A" w:rsidRDefault="006D2971" w:rsidP="00ED2C03">
            <w:pPr>
              <w:spacing w:after="0" w:line="240" w:lineRule="auto"/>
              <w:jc w:val="center"/>
              <w:rPr>
                <w:rFonts w:ascii="Calibri" w:eastAsia="Times New Roman" w:hAnsi="Calibri" w:cs="Calibri"/>
                <w:color w:val="000000"/>
                <w:sz w:val="20"/>
                <w:szCs w:val="20"/>
              </w:rPr>
            </w:pPr>
            <w:r w:rsidRPr="0049676A">
              <w:rPr>
                <w:rFonts w:ascii="Calibri" w:eastAsia="Times New Roman" w:hAnsi="Calibri" w:cs="Calibri"/>
                <w:color w:val="000000"/>
                <w:sz w:val="20"/>
                <w:szCs w:val="20"/>
              </w:rPr>
              <w:t>2</w:t>
            </w:r>
          </w:p>
        </w:tc>
        <w:tc>
          <w:tcPr>
            <w:tcW w:w="2521" w:type="dxa"/>
            <w:tcBorders>
              <w:top w:val="nil"/>
              <w:left w:val="nil"/>
              <w:bottom w:val="single" w:sz="4" w:space="0" w:color="auto"/>
              <w:right w:val="single" w:sz="4" w:space="0" w:color="auto"/>
            </w:tcBorders>
            <w:noWrap/>
            <w:vAlign w:val="bottom"/>
            <w:hideMark/>
          </w:tcPr>
          <w:p w14:paraId="1820776C"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Support Fee (1 year)</w:t>
            </w:r>
          </w:p>
        </w:tc>
        <w:tc>
          <w:tcPr>
            <w:tcW w:w="1614" w:type="dxa"/>
            <w:tcBorders>
              <w:top w:val="nil"/>
              <w:left w:val="nil"/>
              <w:bottom w:val="single" w:sz="4" w:space="0" w:color="auto"/>
              <w:right w:val="single" w:sz="4" w:space="0" w:color="auto"/>
            </w:tcBorders>
            <w:noWrap/>
            <w:vAlign w:val="bottom"/>
            <w:hideMark/>
          </w:tcPr>
          <w:p w14:paraId="30922894"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1559" w:type="dxa"/>
            <w:tcBorders>
              <w:top w:val="nil"/>
              <w:left w:val="nil"/>
              <w:bottom w:val="single" w:sz="4" w:space="0" w:color="auto"/>
              <w:right w:val="single" w:sz="4" w:space="0" w:color="auto"/>
            </w:tcBorders>
            <w:noWrap/>
            <w:vAlign w:val="bottom"/>
            <w:hideMark/>
          </w:tcPr>
          <w:p w14:paraId="722B7989"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2536" w:type="dxa"/>
            <w:tcBorders>
              <w:top w:val="nil"/>
              <w:left w:val="nil"/>
              <w:bottom w:val="single" w:sz="4" w:space="0" w:color="auto"/>
              <w:right w:val="single" w:sz="4" w:space="0" w:color="auto"/>
            </w:tcBorders>
            <w:noWrap/>
            <w:vAlign w:val="bottom"/>
            <w:hideMark/>
          </w:tcPr>
          <w:p w14:paraId="08E27512"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r>
      <w:tr w:rsidR="00ED2C03" w:rsidRPr="0049676A" w14:paraId="726E7021" w14:textId="77777777" w:rsidTr="00ED2C03">
        <w:trPr>
          <w:trHeight w:val="288"/>
        </w:trPr>
        <w:tc>
          <w:tcPr>
            <w:tcW w:w="538" w:type="dxa"/>
            <w:tcBorders>
              <w:top w:val="nil"/>
              <w:left w:val="single" w:sz="4" w:space="0" w:color="auto"/>
              <w:bottom w:val="single" w:sz="4" w:space="0" w:color="auto"/>
              <w:right w:val="single" w:sz="4" w:space="0" w:color="auto"/>
            </w:tcBorders>
            <w:noWrap/>
            <w:vAlign w:val="bottom"/>
            <w:hideMark/>
          </w:tcPr>
          <w:p w14:paraId="2EB04DD9" w14:textId="77777777" w:rsidR="006D2971" w:rsidRPr="0049676A" w:rsidRDefault="006D2971" w:rsidP="00ED2C03">
            <w:pPr>
              <w:spacing w:after="0" w:line="240" w:lineRule="auto"/>
              <w:jc w:val="center"/>
              <w:rPr>
                <w:rFonts w:ascii="Calibri" w:eastAsia="Times New Roman" w:hAnsi="Calibri" w:cs="Calibri"/>
                <w:color w:val="000000"/>
                <w:sz w:val="20"/>
                <w:szCs w:val="20"/>
              </w:rPr>
            </w:pPr>
            <w:r w:rsidRPr="0049676A">
              <w:rPr>
                <w:rFonts w:ascii="Calibri" w:eastAsia="Times New Roman" w:hAnsi="Calibri" w:cs="Calibri"/>
                <w:color w:val="000000"/>
                <w:sz w:val="20"/>
                <w:szCs w:val="20"/>
              </w:rPr>
              <w:t>3</w:t>
            </w:r>
          </w:p>
        </w:tc>
        <w:tc>
          <w:tcPr>
            <w:tcW w:w="2521" w:type="dxa"/>
            <w:tcBorders>
              <w:top w:val="nil"/>
              <w:left w:val="nil"/>
              <w:bottom w:val="single" w:sz="4" w:space="0" w:color="auto"/>
              <w:right w:val="single" w:sz="4" w:space="0" w:color="auto"/>
            </w:tcBorders>
            <w:noWrap/>
            <w:vAlign w:val="bottom"/>
            <w:hideMark/>
          </w:tcPr>
          <w:p w14:paraId="3CA75C2B"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License price</w:t>
            </w:r>
          </w:p>
        </w:tc>
        <w:tc>
          <w:tcPr>
            <w:tcW w:w="1614" w:type="dxa"/>
            <w:tcBorders>
              <w:top w:val="nil"/>
              <w:left w:val="nil"/>
              <w:bottom w:val="single" w:sz="4" w:space="0" w:color="auto"/>
              <w:right w:val="single" w:sz="4" w:space="0" w:color="auto"/>
            </w:tcBorders>
            <w:noWrap/>
            <w:vAlign w:val="bottom"/>
            <w:hideMark/>
          </w:tcPr>
          <w:p w14:paraId="7B87AB65"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1559" w:type="dxa"/>
            <w:tcBorders>
              <w:top w:val="nil"/>
              <w:left w:val="nil"/>
              <w:bottom w:val="single" w:sz="4" w:space="0" w:color="auto"/>
              <w:right w:val="single" w:sz="4" w:space="0" w:color="auto"/>
            </w:tcBorders>
            <w:noWrap/>
            <w:vAlign w:val="bottom"/>
            <w:hideMark/>
          </w:tcPr>
          <w:p w14:paraId="1EC7305D"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2536" w:type="dxa"/>
            <w:tcBorders>
              <w:top w:val="nil"/>
              <w:left w:val="nil"/>
              <w:bottom w:val="single" w:sz="4" w:space="0" w:color="auto"/>
              <w:right w:val="single" w:sz="4" w:space="0" w:color="auto"/>
            </w:tcBorders>
            <w:noWrap/>
            <w:vAlign w:val="bottom"/>
            <w:hideMark/>
          </w:tcPr>
          <w:p w14:paraId="5A971E33"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r>
      <w:tr w:rsidR="00ED2C03" w:rsidRPr="0049676A" w14:paraId="195AC4EB" w14:textId="77777777" w:rsidTr="00ED2C03">
        <w:trPr>
          <w:trHeight w:val="318"/>
        </w:trPr>
        <w:tc>
          <w:tcPr>
            <w:tcW w:w="538" w:type="dxa"/>
            <w:tcBorders>
              <w:top w:val="nil"/>
              <w:left w:val="single" w:sz="4" w:space="0" w:color="auto"/>
              <w:bottom w:val="single" w:sz="4" w:space="0" w:color="auto"/>
              <w:right w:val="single" w:sz="4" w:space="0" w:color="auto"/>
            </w:tcBorders>
            <w:noWrap/>
            <w:vAlign w:val="bottom"/>
            <w:hideMark/>
          </w:tcPr>
          <w:p w14:paraId="11D08785" w14:textId="681E0851" w:rsidR="006D2971" w:rsidRPr="0049676A" w:rsidRDefault="006D2971" w:rsidP="00ED2C03">
            <w:pPr>
              <w:spacing w:after="0" w:line="240" w:lineRule="auto"/>
              <w:jc w:val="center"/>
              <w:rPr>
                <w:rFonts w:ascii="Calibri" w:eastAsia="Times New Roman" w:hAnsi="Calibri" w:cs="Calibri"/>
                <w:color w:val="000000"/>
                <w:sz w:val="20"/>
                <w:szCs w:val="20"/>
              </w:rPr>
            </w:pPr>
          </w:p>
        </w:tc>
        <w:tc>
          <w:tcPr>
            <w:tcW w:w="2521" w:type="dxa"/>
            <w:tcBorders>
              <w:top w:val="nil"/>
              <w:left w:val="nil"/>
              <w:bottom w:val="single" w:sz="4" w:space="0" w:color="auto"/>
              <w:right w:val="single" w:sz="4" w:space="0" w:color="auto"/>
            </w:tcBorders>
            <w:noWrap/>
            <w:vAlign w:val="bottom"/>
            <w:hideMark/>
          </w:tcPr>
          <w:p w14:paraId="07EBB197" w14:textId="77777777" w:rsidR="006D2971" w:rsidRPr="0049676A" w:rsidRDefault="006D2971" w:rsidP="006D2971">
            <w:pPr>
              <w:spacing w:after="0" w:line="240" w:lineRule="auto"/>
              <w:rPr>
                <w:rFonts w:ascii="Calibri" w:eastAsia="Times New Roman" w:hAnsi="Calibri" w:cs="Calibri"/>
                <w:b/>
                <w:bCs/>
                <w:color w:val="000000"/>
                <w:sz w:val="20"/>
                <w:szCs w:val="20"/>
              </w:rPr>
            </w:pPr>
            <w:r w:rsidRPr="0049676A">
              <w:rPr>
                <w:rFonts w:ascii="Calibri" w:eastAsia="Times New Roman" w:hAnsi="Calibri" w:cs="Calibri"/>
                <w:b/>
                <w:bCs/>
                <w:color w:val="000000"/>
                <w:sz w:val="20"/>
                <w:szCs w:val="20"/>
              </w:rPr>
              <w:t>Total cost:</w:t>
            </w:r>
          </w:p>
        </w:tc>
        <w:tc>
          <w:tcPr>
            <w:tcW w:w="1614" w:type="dxa"/>
            <w:tcBorders>
              <w:top w:val="nil"/>
              <w:left w:val="nil"/>
              <w:bottom w:val="single" w:sz="4" w:space="0" w:color="auto"/>
              <w:right w:val="single" w:sz="4" w:space="0" w:color="auto"/>
            </w:tcBorders>
            <w:noWrap/>
            <w:vAlign w:val="bottom"/>
            <w:hideMark/>
          </w:tcPr>
          <w:p w14:paraId="7808B123" w14:textId="0CFCAE55" w:rsidR="006D2971" w:rsidRPr="0049676A" w:rsidRDefault="006D2971" w:rsidP="006D2971">
            <w:pPr>
              <w:spacing w:after="0" w:line="240" w:lineRule="auto"/>
              <w:jc w:val="right"/>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noWrap/>
            <w:vAlign w:val="bottom"/>
            <w:hideMark/>
          </w:tcPr>
          <w:p w14:paraId="00809044"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c>
          <w:tcPr>
            <w:tcW w:w="2536" w:type="dxa"/>
            <w:tcBorders>
              <w:top w:val="nil"/>
              <w:left w:val="nil"/>
              <w:bottom w:val="single" w:sz="4" w:space="0" w:color="auto"/>
              <w:right w:val="single" w:sz="4" w:space="0" w:color="auto"/>
            </w:tcBorders>
            <w:noWrap/>
            <w:vAlign w:val="bottom"/>
            <w:hideMark/>
          </w:tcPr>
          <w:p w14:paraId="5F2B409E" w14:textId="77777777" w:rsidR="006D2971" w:rsidRPr="0049676A" w:rsidRDefault="006D2971" w:rsidP="006D2971">
            <w:pPr>
              <w:spacing w:after="0" w:line="240" w:lineRule="auto"/>
              <w:rPr>
                <w:rFonts w:ascii="Calibri" w:eastAsia="Times New Roman" w:hAnsi="Calibri" w:cs="Calibri"/>
                <w:color w:val="000000"/>
                <w:sz w:val="20"/>
                <w:szCs w:val="20"/>
              </w:rPr>
            </w:pPr>
            <w:r w:rsidRPr="0049676A">
              <w:rPr>
                <w:rFonts w:ascii="Calibri" w:eastAsia="Times New Roman" w:hAnsi="Calibri" w:cs="Calibri"/>
                <w:color w:val="000000"/>
                <w:sz w:val="20"/>
                <w:szCs w:val="20"/>
              </w:rPr>
              <w:t> </w:t>
            </w:r>
          </w:p>
        </w:tc>
      </w:tr>
    </w:tbl>
    <w:p w14:paraId="1AA421AE" w14:textId="5397E370" w:rsidR="006D2971" w:rsidRPr="0049676A" w:rsidRDefault="00ED2C03" w:rsidP="002A499A">
      <w:pPr>
        <w:pStyle w:val="NormalWeb"/>
        <w:spacing w:line="360" w:lineRule="auto"/>
        <w:jc w:val="both"/>
        <w:rPr>
          <w:rFonts w:ascii="Calibri" w:hAnsi="Calibri" w:cs="Calibri"/>
        </w:rPr>
      </w:pPr>
      <w:r w:rsidRPr="0049676A">
        <w:rPr>
          <w:rFonts w:ascii="Calibri" w:hAnsi="Calibri" w:cs="Calibri"/>
          <w:sz w:val="20"/>
          <w:szCs w:val="20"/>
          <w:lang w:val="ka-GE"/>
        </w:rPr>
        <w:t>*</w:t>
      </w:r>
      <w:r w:rsidRPr="0049676A">
        <w:rPr>
          <w:rFonts w:ascii="Calibri" w:hAnsi="Calibri" w:cs="Calibri"/>
          <w:sz w:val="20"/>
          <w:szCs w:val="20"/>
        </w:rPr>
        <w:t>List can be modified as per price structure of the bidder</w:t>
      </w:r>
      <w:r w:rsidRPr="0049676A">
        <w:rPr>
          <w:rFonts w:ascii="Calibri" w:hAnsi="Calibri" w:cs="Calibri"/>
        </w:rPr>
        <w:t>.</w:t>
      </w:r>
    </w:p>
    <w:p w14:paraId="755AF585" w14:textId="77777777" w:rsidR="00ED2C03" w:rsidRPr="0049676A" w:rsidRDefault="00ED2C03" w:rsidP="00ED2C03">
      <w:pPr>
        <w:pStyle w:val="NormalWeb"/>
        <w:spacing w:line="360" w:lineRule="auto"/>
        <w:jc w:val="both"/>
        <w:rPr>
          <w:rFonts w:ascii="Calibri" w:hAnsi="Calibri" w:cs="Calibri"/>
          <w:sz w:val="20"/>
          <w:szCs w:val="20"/>
        </w:rPr>
      </w:pPr>
    </w:p>
    <w:p w14:paraId="04FD26A5" w14:textId="783D31D0" w:rsidR="00ED2C03" w:rsidRPr="0049676A" w:rsidRDefault="00ED2C03" w:rsidP="002A499A">
      <w:pPr>
        <w:pStyle w:val="NormalWeb"/>
        <w:spacing w:line="360" w:lineRule="auto"/>
        <w:jc w:val="both"/>
        <w:rPr>
          <w:rFonts w:ascii="Calibri" w:hAnsi="Calibri" w:cs="Calibri"/>
          <w:sz w:val="20"/>
          <w:szCs w:val="20"/>
        </w:rPr>
      </w:pPr>
      <w:r w:rsidRPr="0049676A">
        <w:rPr>
          <w:rFonts w:ascii="Calibri" w:hAnsi="Calibri" w:cs="Calibri"/>
          <w:sz w:val="20"/>
          <w:szCs w:val="20"/>
        </w:rPr>
        <w:t>Signature of the bidder</w:t>
      </w:r>
      <w:r w:rsidR="00D348BA" w:rsidRPr="0049676A">
        <w:rPr>
          <w:rFonts w:ascii="Calibri" w:hAnsi="Calibri" w:cs="Calibri"/>
          <w:sz w:val="20"/>
          <w:szCs w:val="20"/>
        </w:rPr>
        <w:t xml:space="preserve"> </w:t>
      </w:r>
      <w:r w:rsidRPr="0049676A">
        <w:rPr>
          <w:rFonts w:ascii="Calibri" w:hAnsi="Calibri" w:cs="Calibri"/>
          <w:sz w:val="20"/>
          <w:szCs w:val="20"/>
        </w:rPr>
        <w:t>(</w:t>
      </w:r>
      <w:r w:rsidR="00156808" w:rsidRPr="0049676A">
        <w:rPr>
          <w:rFonts w:ascii="Calibri" w:hAnsi="Calibri" w:cs="Calibri"/>
          <w:sz w:val="20"/>
          <w:szCs w:val="20"/>
        </w:rPr>
        <w:t xml:space="preserve">Stamp)  </w:t>
      </w:r>
      <w:r w:rsidRPr="0049676A">
        <w:rPr>
          <w:rFonts w:ascii="Calibri" w:hAnsi="Calibri" w:cs="Calibri"/>
          <w:sz w:val="20"/>
          <w:szCs w:val="20"/>
        </w:rPr>
        <w:t xml:space="preserve">              ________________________________ </w:t>
      </w:r>
    </w:p>
    <w:sectPr w:rsidR="00ED2C03" w:rsidRPr="0049676A" w:rsidSect="00335453">
      <w:headerReference w:type="default" r:id="rId10"/>
      <w:pgSz w:w="12240" w:h="15840"/>
      <w:pgMar w:top="1440" w:right="1440" w:bottom="99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3222" w14:textId="77777777" w:rsidR="00437813" w:rsidRDefault="00437813" w:rsidP="002B246E">
      <w:pPr>
        <w:spacing w:after="0" w:line="240" w:lineRule="auto"/>
      </w:pPr>
      <w:r>
        <w:separator/>
      </w:r>
    </w:p>
  </w:endnote>
  <w:endnote w:type="continuationSeparator" w:id="0">
    <w:p w14:paraId="0CC03CB8" w14:textId="77777777" w:rsidR="00437813" w:rsidRDefault="00437813" w:rsidP="002B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A9888" w14:textId="77777777" w:rsidR="00437813" w:rsidRDefault="00437813" w:rsidP="002B246E">
      <w:pPr>
        <w:spacing w:after="0" w:line="240" w:lineRule="auto"/>
      </w:pPr>
      <w:r>
        <w:separator/>
      </w:r>
    </w:p>
  </w:footnote>
  <w:footnote w:type="continuationSeparator" w:id="0">
    <w:p w14:paraId="6000B375" w14:textId="77777777" w:rsidR="00437813" w:rsidRDefault="00437813" w:rsidP="002B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354F" w14:textId="644DF08F" w:rsidR="002B246E" w:rsidRPr="00722549" w:rsidRDefault="002B246E">
    <w:pPr>
      <w:pStyle w:val="Header"/>
      <w:rPr>
        <w:b/>
        <w:i/>
        <w:sz w:val="18"/>
        <w:u w:val="single"/>
      </w:rPr>
    </w:pPr>
    <w:r w:rsidRPr="00722549">
      <w:rPr>
        <w:b/>
        <w:i/>
        <w:noProof/>
        <w:sz w:val="18"/>
        <w:u w:val="single"/>
      </w:rPr>
      <mc:AlternateContent>
        <mc:Choice Requires="wps">
          <w:drawing>
            <wp:anchor distT="0" distB="0" distL="114300" distR="114300" simplePos="0" relativeHeight="251659264" behindDoc="0" locked="0" layoutInCell="0" allowOverlap="1" wp14:anchorId="1A3E0AF8" wp14:editId="5937991E">
              <wp:simplePos x="0" y="0"/>
              <wp:positionH relativeFrom="rightMargin">
                <wp:posOffset>-66738</wp:posOffset>
              </wp:positionH>
              <wp:positionV relativeFrom="margin">
                <wp:posOffset>-546698</wp:posOffset>
              </wp:positionV>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A099C" w14:textId="557F93E3" w:rsidR="002B246E" w:rsidRPr="002B246E" w:rsidRDefault="002B246E">
                          <w:pPr>
                            <w:pBdr>
                              <w:top w:val="single" w:sz="4" w:space="1" w:color="D8D8D8" w:themeColor="background1" w:themeShade="D8"/>
                            </w:pBdr>
                            <w:rPr>
                              <w:sz w:val="18"/>
                            </w:rPr>
                          </w:pPr>
                          <w:r w:rsidRPr="002B246E">
                            <w:rPr>
                              <w:sz w:val="18"/>
                            </w:rPr>
                            <w:t xml:space="preserve">Page </w:t>
                          </w:r>
                          <w:r w:rsidRPr="002B246E">
                            <w:rPr>
                              <w:sz w:val="18"/>
                            </w:rPr>
                            <w:fldChar w:fldCharType="begin"/>
                          </w:r>
                          <w:r w:rsidRPr="002B246E">
                            <w:rPr>
                              <w:sz w:val="18"/>
                            </w:rPr>
                            <w:instrText xml:space="preserve"> PAGE   \* MERGEFORMAT </w:instrText>
                          </w:r>
                          <w:r w:rsidRPr="002B246E">
                            <w:rPr>
                              <w:sz w:val="18"/>
                            </w:rPr>
                            <w:fldChar w:fldCharType="separate"/>
                          </w:r>
                          <w:r w:rsidR="00BA7D47">
                            <w:rPr>
                              <w:noProof/>
                              <w:sz w:val="18"/>
                            </w:rPr>
                            <w:t>6</w:t>
                          </w:r>
                          <w:r w:rsidRPr="002B246E">
                            <w:rPr>
                              <w:noProof/>
                              <w:sz w:val="18"/>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A3E0AF8" id="Rectangle 1" o:spid="_x0000_s1026" style="position:absolute;margin-left:-5.25pt;margin-top:-43.05pt;width:64.5pt;height:34.15pt;z-index:2516592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" o:allowincell="f" stroked="f">
              <v:textbox style="mso-fit-shape-to-text:t" inset="0,,0">
                <w:txbxContent>
                  <w:p w14:paraId="44FA099C" w14:textId="557F93E3" w:rsidR="002B246E" w:rsidRPr="002B246E" w:rsidRDefault="002B246E">
                    <w:pPr>
                      <w:pBdr>
                        <w:top w:val="single" w:sz="4" w:space="1" w:color="D8D8D8" w:themeColor="background1" w:themeShade="D8"/>
                      </w:pBdr>
                      <w:rPr>
                        <w:sz w:val="18"/>
                      </w:rPr>
                    </w:pPr>
                    <w:r w:rsidRPr="002B246E">
                      <w:rPr>
                        <w:sz w:val="18"/>
                      </w:rPr>
                      <w:t xml:space="preserve">Page </w:t>
                    </w:r>
                    <w:r w:rsidRPr="002B246E">
                      <w:rPr>
                        <w:sz w:val="18"/>
                      </w:rPr>
                      <w:fldChar w:fldCharType="begin"/>
                    </w:r>
                    <w:r w:rsidRPr="002B246E">
                      <w:rPr>
                        <w:sz w:val="18"/>
                      </w:rPr>
                      <w:instrText xml:space="preserve"> PAGE   \* MERGEFORMAT </w:instrText>
                    </w:r>
                    <w:r w:rsidRPr="002B246E">
                      <w:rPr>
                        <w:sz w:val="18"/>
                      </w:rPr>
                      <w:fldChar w:fldCharType="separate"/>
                    </w:r>
                    <w:r w:rsidR="00BA7D47">
                      <w:rPr>
                        <w:noProof/>
                        <w:sz w:val="18"/>
                      </w:rPr>
                      <w:t>6</w:t>
                    </w:r>
                    <w:r w:rsidRPr="002B246E">
                      <w:rPr>
                        <w:noProof/>
                        <w:sz w:val="18"/>
                      </w:rPr>
                      <w:fldChar w:fldCharType="end"/>
                    </w:r>
                  </w:p>
                </w:txbxContent>
              </v:textbox>
              <w10:wrap anchorx="margin" anchory="margin"/>
            </v:rect>
          </w:pict>
        </mc:Fallback>
      </mc:AlternateContent>
    </w:r>
    <w:r w:rsidRPr="00722549">
      <w:rPr>
        <w:b/>
        <w:i/>
        <w:sz w:val="18"/>
        <w:u w:val="single"/>
      </w:rPr>
      <w:t xml:space="preserve">JSC </w:t>
    </w:r>
    <w:proofErr w:type="spellStart"/>
    <w:r w:rsidRPr="00722549">
      <w:rPr>
        <w:b/>
        <w:i/>
        <w:sz w:val="18"/>
        <w:u w:val="single"/>
      </w:rPr>
      <w:t>Hashbank</w:t>
    </w:r>
    <w:proofErr w:type="spellEnd"/>
    <w:r w:rsidRPr="00722549">
      <w:rPr>
        <w:b/>
        <w:i/>
        <w:sz w:val="18"/>
        <w:u w:val="single"/>
      </w:rPr>
      <w:t xml:space="preserve"> RFP </w:t>
    </w:r>
    <w:r w:rsidR="00722549">
      <w:rPr>
        <w:b/>
        <w:i/>
        <w:sz w:val="18"/>
        <w:u w:val="single"/>
      </w:rPr>
      <w:t xml:space="preserve">- </w:t>
    </w:r>
    <w:r w:rsidR="00156808" w:rsidRPr="00156808">
      <w:rPr>
        <w:b/>
        <w:i/>
        <w:sz w:val="18"/>
        <w:u w:val="single"/>
      </w:rPr>
      <w:t>Blockchain Analytics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5D6"/>
    <w:multiLevelType w:val="multilevel"/>
    <w:tmpl w:val="B912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362D"/>
    <w:multiLevelType w:val="multilevel"/>
    <w:tmpl w:val="46C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A28FA"/>
    <w:multiLevelType w:val="multilevel"/>
    <w:tmpl w:val="570CF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17FFC"/>
    <w:multiLevelType w:val="multilevel"/>
    <w:tmpl w:val="773C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E22EC"/>
    <w:multiLevelType w:val="multilevel"/>
    <w:tmpl w:val="D90E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A2D6E"/>
    <w:multiLevelType w:val="multilevel"/>
    <w:tmpl w:val="1C900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E4E4D"/>
    <w:multiLevelType w:val="multilevel"/>
    <w:tmpl w:val="F356F2F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10CC2"/>
    <w:multiLevelType w:val="multilevel"/>
    <w:tmpl w:val="4554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A3197"/>
    <w:multiLevelType w:val="multilevel"/>
    <w:tmpl w:val="5B62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D7382"/>
    <w:multiLevelType w:val="multilevel"/>
    <w:tmpl w:val="3620E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924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916532"/>
    <w:multiLevelType w:val="multilevel"/>
    <w:tmpl w:val="D8025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84015"/>
    <w:multiLevelType w:val="multilevel"/>
    <w:tmpl w:val="7338C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3757C"/>
    <w:multiLevelType w:val="multilevel"/>
    <w:tmpl w:val="EB3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97F2A"/>
    <w:multiLevelType w:val="multilevel"/>
    <w:tmpl w:val="6F06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C74F0"/>
    <w:multiLevelType w:val="multilevel"/>
    <w:tmpl w:val="EBB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2476F"/>
    <w:multiLevelType w:val="multilevel"/>
    <w:tmpl w:val="6684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16"/>
  </w:num>
  <w:num w:numId="5">
    <w:abstractNumId w:val="8"/>
  </w:num>
  <w:num w:numId="6">
    <w:abstractNumId w:val="9"/>
  </w:num>
  <w:num w:numId="7">
    <w:abstractNumId w:val="12"/>
  </w:num>
  <w:num w:numId="8">
    <w:abstractNumId w:val="5"/>
  </w:num>
  <w:num w:numId="9">
    <w:abstractNumId w:val="7"/>
  </w:num>
  <w:num w:numId="10">
    <w:abstractNumId w:val="11"/>
  </w:num>
  <w:num w:numId="11">
    <w:abstractNumId w:val="15"/>
  </w:num>
  <w:num w:numId="12">
    <w:abstractNumId w:val="4"/>
  </w:num>
  <w:num w:numId="13">
    <w:abstractNumId w:val="14"/>
  </w:num>
  <w:num w:numId="14">
    <w:abstractNumId w:val="10"/>
  </w:num>
  <w:num w:numId="15">
    <w:abstractNumId w:val="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E"/>
    <w:rsid w:val="000100B4"/>
    <w:rsid w:val="00047483"/>
    <w:rsid w:val="000A395C"/>
    <w:rsid w:val="0010300E"/>
    <w:rsid w:val="00112178"/>
    <w:rsid w:val="0011611D"/>
    <w:rsid w:val="001437F7"/>
    <w:rsid w:val="00146BAA"/>
    <w:rsid w:val="00156808"/>
    <w:rsid w:val="00175B54"/>
    <w:rsid w:val="001A02A2"/>
    <w:rsid w:val="00237938"/>
    <w:rsid w:val="002753CE"/>
    <w:rsid w:val="00280328"/>
    <w:rsid w:val="00290332"/>
    <w:rsid w:val="002A499A"/>
    <w:rsid w:val="002B246E"/>
    <w:rsid w:val="00335453"/>
    <w:rsid w:val="003954ED"/>
    <w:rsid w:val="003E51DA"/>
    <w:rsid w:val="003E6003"/>
    <w:rsid w:val="00426BAA"/>
    <w:rsid w:val="00435C65"/>
    <w:rsid w:val="00437813"/>
    <w:rsid w:val="00457ECE"/>
    <w:rsid w:val="0049676A"/>
    <w:rsid w:val="00515811"/>
    <w:rsid w:val="00520B07"/>
    <w:rsid w:val="005233C7"/>
    <w:rsid w:val="0056033F"/>
    <w:rsid w:val="00573E06"/>
    <w:rsid w:val="00590393"/>
    <w:rsid w:val="005C1E80"/>
    <w:rsid w:val="00602A73"/>
    <w:rsid w:val="00614462"/>
    <w:rsid w:val="006174F5"/>
    <w:rsid w:val="006A08E1"/>
    <w:rsid w:val="006D2971"/>
    <w:rsid w:val="006D5873"/>
    <w:rsid w:val="007113DB"/>
    <w:rsid w:val="00722549"/>
    <w:rsid w:val="007770C0"/>
    <w:rsid w:val="00795253"/>
    <w:rsid w:val="00800E7B"/>
    <w:rsid w:val="008369C7"/>
    <w:rsid w:val="008903FF"/>
    <w:rsid w:val="008A3BD0"/>
    <w:rsid w:val="008F69DE"/>
    <w:rsid w:val="0090199E"/>
    <w:rsid w:val="009378C2"/>
    <w:rsid w:val="00B208B9"/>
    <w:rsid w:val="00B32C6A"/>
    <w:rsid w:val="00BA7D47"/>
    <w:rsid w:val="00BB5C51"/>
    <w:rsid w:val="00BC7F04"/>
    <w:rsid w:val="00BF6CDF"/>
    <w:rsid w:val="00C035E9"/>
    <w:rsid w:val="00C07CB0"/>
    <w:rsid w:val="00C76533"/>
    <w:rsid w:val="00C82C70"/>
    <w:rsid w:val="00CA142A"/>
    <w:rsid w:val="00D11F71"/>
    <w:rsid w:val="00D12ECC"/>
    <w:rsid w:val="00D348BA"/>
    <w:rsid w:val="00D92F48"/>
    <w:rsid w:val="00D976AA"/>
    <w:rsid w:val="00DB2670"/>
    <w:rsid w:val="00E51063"/>
    <w:rsid w:val="00ED2C03"/>
    <w:rsid w:val="00F5335B"/>
    <w:rsid w:val="00FC4249"/>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6643"/>
  <w15:chartTrackingRefBased/>
  <w15:docId w15:val="{BFBE6297-433D-48C1-BF91-E4C924AF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CE"/>
  </w:style>
  <w:style w:type="paragraph" w:styleId="Heading1">
    <w:name w:val="heading 1"/>
    <w:basedOn w:val="Normal"/>
    <w:next w:val="Normal"/>
    <w:link w:val="Heading1Char"/>
    <w:uiPriority w:val="9"/>
    <w:qFormat/>
    <w:rsid w:val="007952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603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00E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33F"/>
    <w:pPr>
      <w:ind w:left="720"/>
      <w:contextualSpacing/>
    </w:pPr>
  </w:style>
  <w:style w:type="character" w:customStyle="1" w:styleId="Heading3Char">
    <w:name w:val="Heading 3 Char"/>
    <w:basedOn w:val="DefaultParagraphFont"/>
    <w:link w:val="Heading3"/>
    <w:uiPriority w:val="9"/>
    <w:rsid w:val="0056033F"/>
    <w:rPr>
      <w:rFonts w:ascii="Times New Roman" w:eastAsia="Times New Roman" w:hAnsi="Times New Roman" w:cs="Times New Roman"/>
      <w:b/>
      <w:bCs/>
      <w:sz w:val="27"/>
      <w:szCs w:val="27"/>
    </w:rPr>
  </w:style>
  <w:style w:type="character" w:styleId="Strong">
    <w:name w:val="Strong"/>
    <w:basedOn w:val="DefaultParagraphFont"/>
    <w:uiPriority w:val="22"/>
    <w:qFormat/>
    <w:rsid w:val="0056033F"/>
    <w:rPr>
      <w:b/>
      <w:bCs/>
    </w:rPr>
  </w:style>
  <w:style w:type="paragraph" w:styleId="NormalWeb">
    <w:name w:val="Normal (Web)"/>
    <w:basedOn w:val="Normal"/>
    <w:uiPriority w:val="99"/>
    <w:unhideWhenUsed/>
    <w:rsid w:val="005603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2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46E"/>
  </w:style>
  <w:style w:type="paragraph" w:styleId="Footer">
    <w:name w:val="footer"/>
    <w:basedOn w:val="Normal"/>
    <w:link w:val="FooterChar"/>
    <w:uiPriority w:val="99"/>
    <w:unhideWhenUsed/>
    <w:rsid w:val="002B2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46E"/>
  </w:style>
  <w:style w:type="character" w:customStyle="1" w:styleId="Heading1Char">
    <w:name w:val="Heading 1 Char"/>
    <w:basedOn w:val="DefaultParagraphFont"/>
    <w:link w:val="Heading1"/>
    <w:uiPriority w:val="9"/>
    <w:rsid w:val="0079525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95253"/>
    <w:pPr>
      <w:outlineLvl w:val="9"/>
    </w:pPr>
  </w:style>
  <w:style w:type="paragraph" w:styleId="TOC2">
    <w:name w:val="toc 2"/>
    <w:basedOn w:val="Normal"/>
    <w:next w:val="Normal"/>
    <w:autoRedefine/>
    <w:uiPriority w:val="39"/>
    <w:unhideWhenUsed/>
    <w:rsid w:val="00795253"/>
    <w:pPr>
      <w:spacing w:after="100"/>
      <w:ind w:left="220"/>
    </w:pPr>
  </w:style>
  <w:style w:type="paragraph" w:styleId="TOC3">
    <w:name w:val="toc 3"/>
    <w:basedOn w:val="Normal"/>
    <w:next w:val="Normal"/>
    <w:autoRedefine/>
    <w:uiPriority w:val="39"/>
    <w:unhideWhenUsed/>
    <w:rsid w:val="00795253"/>
    <w:pPr>
      <w:spacing w:after="100"/>
      <w:ind w:left="440"/>
    </w:pPr>
  </w:style>
  <w:style w:type="character" w:styleId="Hyperlink">
    <w:name w:val="Hyperlink"/>
    <w:basedOn w:val="DefaultParagraphFont"/>
    <w:uiPriority w:val="99"/>
    <w:unhideWhenUsed/>
    <w:rsid w:val="00795253"/>
    <w:rPr>
      <w:color w:val="0563C1" w:themeColor="hyperlink"/>
      <w:u w:val="single"/>
    </w:rPr>
  </w:style>
  <w:style w:type="paragraph" w:styleId="BalloonText">
    <w:name w:val="Balloon Text"/>
    <w:basedOn w:val="Normal"/>
    <w:link w:val="BalloonTextChar"/>
    <w:uiPriority w:val="99"/>
    <w:semiHidden/>
    <w:unhideWhenUsed/>
    <w:rsid w:val="00B32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C6A"/>
    <w:rPr>
      <w:rFonts w:ascii="Segoe UI" w:hAnsi="Segoe UI" w:cs="Segoe UI"/>
      <w:sz w:val="18"/>
      <w:szCs w:val="18"/>
    </w:rPr>
  </w:style>
  <w:style w:type="paragraph" w:styleId="NoSpacing">
    <w:name w:val="No Spacing"/>
    <w:link w:val="NoSpacingChar"/>
    <w:uiPriority w:val="1"/>
    <w:qFormat/>
    <w:rsid w:val="000100B4"/>
    <w:pPr>
      <w:spacing w:after="0" w:line="240" w:lineRule="auto"/>
    </w:pPr>
    <w:rPr>
      <w:rFonts w:eastAsiaTheme="minorEastAsia"/>
    </w:rPr>
  </w:style>
  <w:style w:type="character" w:customStyle="1" w:styleId="NoSpacingChar">
    <w:name w:val="No Spacing Char"/>
    <w:basedOn w:val="DefaultParagraphFont"/>
    <w:link w:val="NoSpacing"/>
    <w:uiPriority w:val="1"/>
    <w:rsid w:val="000100B4"/>
    <w:rPr>
      <w:rFonts w:eastAsiaTheme="minorEastAsia"/>
    </w:rPr>
  </w:style>
  <w:style w:type="character" w:customStyle="1" w:styleId="UnresolvedMention1">
    <w:name w:val="Unresolved Mention1"/>
    <w:basedOn w:val="DefaultParagraphFont"/>
    <w:uiPriority w:val="99"/>
    <w:semiHidden/>
    <w:unhideWhenUsed/>
    <w:rsid w:val="006A08E1"/>
    <w:rPr>
      <w:color w:val="605E5C"/>
      <w:shd w:val="clear" w:color="auto" w:fill="E1DFDD"/>
    </w:rPr>
  </w:style>
  <w:style w:type="character" w:styleId="CommentReference">
    <w:name w:val="annotation reference"/>
    <w:basedOn w:val="DefaultParagraphFont"/>
    <w:uiPriority w:val="99"/>
    <w:semiHidden/>
    <w:unhideWhenUsed/>
    <w:rsid w:val="00614462"/>
    <w:rPr>
      <w:sz w:val="16"/>
      <w:szCs w:val="16"/>
    </w:rPr>
  </w:style>
  <w:style w:type="paragraph" w:styleId="CommentText">
    <w:name w:val="annotation text"/>
    <w:basedOn w:val="Normal"/>
    <w:link w:val="CommentTextChar"/>
    <w:uiPriority w:val="99"/>
    <w:semiHidden/>
    <w:unhideWhenUsed/>
    <w:rsid w:val="00614462"/>
    <w:pPr>
      <w:spacing w:line="240" w:lineRule="auto"/>
    </w:pPr>
    <w:rPr>
      <w:sz w:val="20"/>
      <w:szCs w:val="20"/>
    </w:rPr>
  </w:style>
  <w:style w:type="character" w:customStyle="1" w:styleId="CommentTextChar">
    <w:name w:val="Comment Text Char"/>
    <w:basedOn w:val="DefaultParagraphFont"/>
    <w:link w:val="CommentText"/>
    <w:uiPriority w:val="99"/>
    <w:semiHidden/>
    <w:rsid w:val="00614462"/>
    <w:rPr>
      <w:sz w:val="20"/>
      <w:szCs w:val="20"/>
    </w:rPr>
  </w:style>
  <w:style w:type="paragraph" w:styleId="CommentSubject">
    <w:name w:val="annotation subject"/>
    <w:basedOn w:val="CommentText"/>
    <w:next w:val="CommentText"/>
    <w:link w:val="CommentSubjectChar"/>
    <w:uiPriority w:val="99"/>
    <w:semiHidden/>
    <w:unhideWhenUsed/>
    <w:rsid w:val="00614462"/>
    <w:rPr>
      <w:b/>
      <w:bCs/>
    </w:rPr>
  </w:style>
  <w:style w:type="character" w:customStyle="1" w:styleId="CommentSubjectChar">
    <w:name w:val="Comment Subject Char"/>
    <w:basedOn w:val="CommentTextChar"/>
    <w:link w:val="CommentSubject"/>
    <w:uiPriority w:val="99"/>
    <w:semiHidden/>
    <w:rsid w:val="00614462"/>
    <w:rPr>
      <w:b/>
      <w:bCs/>
      <w:sz w:val="20"/>
      <w:szCs w:val="20"/>
    </w:rPr>
  </w:style>
  <w:style w:type="character" w:styleId="FollowedHyperlink">
    <w:name w:val="FollowedHyperlink"/>
    <w:basedOn w:val="DefaultParagraphFont"/>
    <w:uiPriority w:val="99"/>
    <w:semiHidden/>
    <w:unhideWhenUsed/>
    <w:rsid w:val="008369C7"/>
    <w:rPr>
      <w:color w:val="954F72" w:themeColor="followedHyperlink"/>
      <w:u w:val="single"/>
    </w:rPr>
  </w:style>
  <w:style w:type="character" w:customStyle="1" w:styleId="Heading4Char">
    <w:name w:val="Heading 4 Char"/>
    <w:basedOn w:val="DefaultParagraphFont"/>
    <w:link w:val="Heading4"/>
    <w:uiPriority w:val="9"/>
    <w:semiHidden/>
    <w:rsid w:val="00800E7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3E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5935">
      <w:bodyDiv w:val="1"/>
      <w:marLeft w:val="0"/>
      <w:marRight w:val="0"/>
      <w:marTop w:val="0"/>
      <w:marBottom w:val="0"/>
      <w:divBdr>
        <w:top w:val="none" w:sz="0" w:space="0" w:color="auto"/>
        <w:left w:val="none" w:sz="0" w:space="0" w:color="auto"/>
        <w:bottom w:val="none" w:sz="0" w:space="0" w:color="auto"/>
        <w:right w:val="none" w:sz="0" w:space="0" w:color="auto"/>
      </w:divBdr>
    </w:div>
    <w:div w:id="220360894">
      <w:bodyDiv w:val="1"/>
      <w:marLeft w:val="0"/>
      <w:marRight w:val="0"/>
      <w:marTop w:val="0"/>
      <w:marBottom w:val="0"/>
      <w:divBdr>
        <w:top w:val="none" w:sz="0" w:space="0" w:color="auto"/>
        <w:left w:val="none" w:sz="0" w:space="0" w:color="auto"/>
        <w:bottom w:val="none" w:sz="0" w:space="0" w:color="auto"/>
        <w:right w:val="none" w:sz="0" w:space="0" w:color="auto"/>
      </w:divBdr>
    </w:div>
    <w:div w:id="251940165">
      <w:bodyDiv w:val="1"/>
      <w:marLeft w:val="0"/>
      <w:marRight w:val="0"/>
      <w:marTop w:val="0"/>
      <w:marBottom w:val="0"/>
      <w:divBdr>
        <w:top w:val="none" w:sz="0" w:space="0" w:color="auto"/>
        <w:left w:val="none" w:sz="0" w:space="0" w:color="auto"/>
        <w:bottom w:val="none" w:sz="0" w:space="0" w:color="auto"/>
        <w:right w:val="none" w:sz="0" w:space="0" w:color="auto"/>
      </w:divBdr>
    </w:div>
    <w:div w:id="1218857104">
      <w:bodyDiv w:val="1"/>
      <w:marLeft w:val="0"/>
      <w:marRight w:val="0"/>
      <w:marTop w:val="0"/>
      <w:marBottom w:val="0"/>
      <w:divBdr>
        <w:top w:val="none" w:sz="0" w:space="0" w:color="auto"/>
        <w:left w:val="none" w:sz="0" w:space="0" w:color="auto"/>
        <w:bottom w:val="none" w:sz="0" w:space="0" w:color="auto"/>
        <w:right w:val="none" w:sz="0" w:space="0" w:color="auto"/>
      </w:divBdr>
    </w:div>
    <w:div w:id="1367414615">
      <w:bodyDiv w:val="1"/>
      <w:marLeft w:val="0"/>
      <w:marRight w:val="0"/>
      <w:marTop w:val="0"/>
      <w:marBottom w:val="0"/>
      <w:divBdr>
        <w:top w:val="none" w:sz="0" w:space="0" w:color="auto"/>
        <w:left w:val="none" w:sz="0" w:space="0" w:color="auto"/>
        <w:bottom w:val="none" w:sz="0" w:space="0" w:color="auto"/>
        <w:right w:val="none" w:sz="0" w:space="0" w:color="auto"/>
      </w:divBdr>
    </w:div>
    <w:div w:id="1410883163">
      <w:bodyDiv w:val="1"/>
      <w:marLeft w:val="0"/>
      <w:marRight w:val="0"/>
      <w:marTop w:val="0"/>
      <w:marBottom w:val="0"/>
      <w:divBdr>
        <w:top w:val="none" w:sz="0" w:space="0" w:color="auto"/>
        <w:left w:val="none" w:sz="0" w:space="0" w:color="auto"/>
        <w:bottom w:val="none" w:sz="0" w:space="0" w:color="auto"/>
        <w:right w:val="none" w:sz="0" w:space="0" w:color="auto"/>
      </w:divBdr>
    </w:div>
    <w:div w:id="1631208961">
      <w:bodyDiv w:val="1"/>
      <w:marLeft w:val="0"/>
      <w:marRight w:val="0"/>
      <w:marTop w:val="0"/>
      <w:marBottom w:val="0"/>
      <w:divBdr>
        <w:top w:val="none" w:sz="0" w:space="0" w:color="auto"/>
        <w:left w:val="none" w:sz="0" w:space="0" w:color="auto"/>
        <w:bottom w:val="none" w:sz="0" w:space="0" w:color="auto"/>
        <w:right w:val="none" w:sz="0" w:space="0" w:color="auto"/>
      </w:divBdr>
    </w:div>
    <w:div w:id="1679772712">
      <w:bodyDiv w:val="1"/>
      <w:marLeft w:val="0"/>
      <w:marRight w:val="0"/>
      <w:marTop w:val="0"/>
      <w:marBottom w:val="0"/>
      <w:divBdr>
        <w:top w:val="none" w:sz="0" w:space="0" w:color="auto"/>
        <w:left w:val="none" w:sz="0" w:space="0" w:color="auto"/>
        <w:bottom w:val="none" w:sz="0" w:space="0" w:color="auto"/>
        <w:right w:val="none" w:sz="0" w:space="0" w:color="auto"/>
      </w:divBdr>
    </w:div>
    <w:div w:id="1745029656">
      <w:bodyDiv w:val="1"/>
      <w:marLeft w:val="0"/>
      <w:marRight w:val="0"/>
      <w:marTop w:val="0"/>
      <w:marBottom w:val="0"/>
      <w:divBdr>
        <w:top w:val="none" w:sz="0" w:space="0" w:color="auto"/>
        <w:left w:val="none" w:sz="0" w:space="0" w:color="auto"/>
        <w:bottom w:val="none" w:sz="0" w:space="0" w:color="auto"/>
        <w:right w:val="none" w:sz="0" w:space="0" w:color="auto"/>
      </w:divBdr>
    </w:div>
    <w:div w:id="2072531588">
      <w:bodyDiv w:val="1"/>
      <w:marLeft w:val="0"/>
      <w:marRight w:val="0"/>
      <w:marTop w:val="0"/>
      <w:marBottom w:val="0"/>
      <w:divBdr>
        <w:top w:val="none" w:sz="0" w:space="0" w:color="auto"/>
        <w:left w:val="none" w:sz="0" w:space="0" w:color="auto"/>
        <w:bottom w:val="none" w:sz="0" w:space="0" w:color="auto"/>
        <w:right w:val="none" w:sz="0" w:space="0" w:color="auto"/>
      </w:divBdr>
    </w:div>
    <w:div w:id="21007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ome.khorguashvili@hashbank.ge" TargetMode="External"/><Relationship Id="rId3" Type="http://schemas.openxmlformats.org/officeDocument/2006/relationships/settings" Target="settings.xml"/><Relationship Id="rId7" Type="http://schemas.openxmlformats.org/officeDocument/2006/relationships/hyperlink" Target="mailto:diana.kadaria@hashbank.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ome.khorguashvili@hash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Keshelashvili</dc:creator>
  <cp:keywords/>
  <dc:description/>
  <cp:lastModifiedBy>Diana Kadaria</cp:lastModifiedBy>
  <cp:revision>2</cp:revision>
  <dcterms:created xsi:type="dcterms:W3CDTF">2025-11-09T18:54:00Z</dcterms:created>
  <dcterms:modified xsi:type="dcterms:W3CDTF">2025-11-09T18:54:00Z</dcterms:modified>
</cp:coreProperties>
</file>