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F1FD" w14:textId="5E97C86A" w:rsidR="00485363" w:rsidRPr="00640425" w:rsidRDefault="00485363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640425">
        <w:rPr>
          <w:rStyle w:val="MessageHeaderLabel"/>
          <w:rFonts w:ascii="Sylfaen" w:hAnsi="Sylfaen"/>
          <w:noProof/>
          <w:color w:val="365F91" w:themeColor="accent1" w:themeShade="BF"/>
          <w:sz w:val="24"/>
          <w:szCs w:val="24"/>
        </w:rPr>
        <w:drawing>
          <wp:inline distT="0" distB="0" distL="0" distR="0" wp14:anchorId="595D49A1" wp14:editId="6B967298">
            <wp:extent cx="2351405" cy="546100"/>
            <wp:effectExtent l="0" t="0" r="0" b="6350"/>
            <wp:docPr id="1760025104" name="Picture 2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D4F">
        <w:rPr>
          <w:rFonts w:ascii="Sylfaen" w:hAnsi="Sylfaen"/>
          <w:color w:val="365F91" w:themeColor="accent1" w:themeShade="BF"/>
          <w:sz w:val="24"/>
          <w:szCs w:val="24"/>
          <w:lang w:val="ka-GE"/>
        </w:rPr>
        <w:tab/>
      </w:r>
      <w:r w:rsidR="00F73D4F">
        <w:rPr>
          <w:rFonts w:ascii="Sylfaen" w:hAnsi="Sylfaen"/>
          <w:color w:val="365F91" w:themeColor="accent1" w:themeShade="BF"/>
          <w:sz w:val="24"/>
          <w:szCs w:val="24"/>
          <w:lang w:val="ka-GE"/>
        </w:rPr>
        <w:tab/>
      </w:r>
      <w:r w:rsidR="00F73D4F">
        <w:rPr>
          <w:rFonts w:ascii="Sylfaen" w:hAnsi="Sylfaen"/>
          <w:color w:val="365F91" w:themeColor="accent1" w:themeShade="BF"/>
          <w:sz w:val="24"/>
          <w:szCs w:val="24"/>
          <w:lang w:val="ka-GE"/>
        </w:rPr>
        <w:tab/>
      </w:r>
      <w:r w:rsidR="00F73D4F">
        <w:rPr>
          <w:rFonts w:ascii="Sylfaen" w:hAnsi="Sylfaen"/>
          <w:color w:val="365F91" w:themeColor="accent1" w:themeShade="BF"/>
          <w:sz w:val="24"/>
          <w:szCs w:val="24"/>
          <w:lang w:val="ka-GE"/>
        </w:rPr>
        <w:tab/>
      </w:r>
      <w:r w:rsidR="00F73D4F">
        <w:rPr>
          <w:rFonts w:ascii="Sylfaen" w:hAnsi="Sylfaen"/>
          <w:color w:val="365F91" w:themeColor="accent1" w:themeShade="BF"/>
          <w:sz w:val="24"/>
          <w:szCs w:val="24"/>
          <w:lang w:val="ka-GE"/>
        </w:rPr>
        <w:tab/>
        <w:t>დანართი #1</w:t>
      </w:r>
    </w:p>
    <w:p w14:paraId="7E124DEB" w14:textId="1A4A1770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5930BFCB">
          <v:rect id="_x0000_i1025" style="width:0;height:1.5pt" o:hralign="center" o:hrstd="t" o:hr="t" fillcolor="#a0a0a0" stroked="f"/>
        </w:pict>
      </w:r>
    </w:p>
    <w:p w14:paraId="1F44215E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Request for Proposal (RFP)</w:t>
      </w:r>
    </w:p>
    <w:p w14:paraId="13C0C355" w14:textId="77777777" w:rsidR="00154278" w:rsidRPr="00154278" w:rsidRDefault="00154278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Infrastructure – VMware Virtualization Licensing and Support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br/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Issued by: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Sylfaen" w:hAnsi="Sylfaen"/>
          <w:i/>
          <w:iCs/>
          <w:color w:val="365F91" w:themeColor="accent1" w:themeShade="BF"/>
          <w:sz w:val="24"/>
          <w:szCs w:val="24"/>
          <w:lang w:val="ka-GE"/>
        </w:rPr>
        <w:t>JSC Cartu Bank</w:t>
      </w:r>
    </w:p>
    <w:p w14:paraId="65123F7C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3E3ABA45">
          <v:rect id="_x0000_i1026" style="width:0;height:1.5pt" o:hralign="center" o:hrstd="t" o:hr="t" fillcolor="#a0a0a0" stroked="f"/>
        </w:pict>
      </w:r>
    </w:p>
    <w:p w14:paraId="081A6D50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1. Introduction</w:t>
      </w:r>
    </w:p>
    <w:p w14:paraId="78E053CD" w14:textId="77777777" w:rsidR="00154278" w:rsidRPr="00154278" w:rsidRDefault="00154278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Cartu Bank hereby invites qualified and authorized VMware resellers or partners to submit proposals for the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supply, delivery, and support of VMware virtualization licenses and associated support subscriptions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.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br/>
        <w:t>The objective of this procurement is to ensure continued operation, compliance, and technical support for the existing VMware infrastructure serving the Bank’s production and disaster recovery environments.</w:t>
      </w:r>
    </w:p>
    <w:p w14:paraId="50FBD316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6E08B5A4">
          <v:rect id="_x0000_i1027" style="width:0;height:1.5pt" o:hralign="center" o:hrstd="t" o:hr="t" fillcolor="#a0a0a0" stroked="f"/>
        </w:pict>
      </w:r>
    </w:p>
    <w:p w14:paraId="67DDD752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2. Existing Infrastructure Overview</w:t>
      </w:r>
    </w:p>
    <w:p w14:paraId="449A46F2" w14:textId="77777777" w:rsidR="00154278" w:rsidRPr="00154278" w:rsidRDefault="00154278" w:rsidP="00154278">
      <w:pPr>
        <w:numPr>
          <w:ilvl w:val="0"/>
          <w:numId w:val="12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Total physical servers: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4 units</w:t>
      </w:r>
    </w:p>
    <w:p w14:paraId="6DA089CD" w14:textId="77777777" w:rsidR="00154278" w:rsidRPr="00154278" w:rsidRDefault="00154278" w:rsidP="00154278">
      <w:pPr>
        <w:numPr>
          <w:ilvl w:val="1"/>
          <w:numId w:val="12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3 × Servers each with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2 × Intel Xeon Platinum 8562Y+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Times New Roman" w:hAnsi="Times New Roman" w:cs="Times New Roman"/>
          <w:color w:val="365F91" w:themeColor="accent1" w:themeShade="BF"/>
          <w:sz w:val="24"/>
          <w:szCs w:val="24"/>
          <w:lang w:val="ka-GE"/>
        </w:rPr>
        <w:t>→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Sylfaen" w:hAnsi="Sylfaen"/>
          <w:i/>
          <w:iCs/>
          <w:color w:val="365F91" w:themeColor="accent1" w:themeShade="BF"/>
          <w:sz w:val="24"/>
          <w:szCs w:val="24"/>
          <w:lang w:val="ka-GE"/>
        </w:rPr>
        <w:t>6 CPU sockets total</w:t>
      </w:r>
    </w:p>
    <w:p w14:paraId="42D38026" w14:textId="77777777" w:rsidR="00154278" w:rsidRPr="00154278" w:rsidRDefault="00154278" w:rsidP="00154278">
      <w:pPr>
        <w:numPr>
          <w:ilvl w:val="1"/>
          <w:numId w:val="12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1 × Server with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2 × Intel Xeon Gold 6542Y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Times New Roman" w:hAnsi="Times New Roman" w:cs="Times New Roman"/>
          <w:color w:val="365F91" w:themeColor="accent1" w:themeShade="BF"/>
          <w:sz w:val="24"/>
          <w:szCs w:val="24"/>
          <w:lang w:val="ka-GE"/>
        </w:rPr>
        <w:t>→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Sylfaen" w:hAnsi="Sylfaen"/>
          <w:i/>
          <w:iCs/>
          <w:color w:val="365F91" w:themeColor="accent1" w:themeShade="BF"/>
          <w:sz w:val="24"/>
          <w:szCs w:val="24"/>
          <w:lang w:val="ka-GE"/>
        </w:rPr>
        <w:t>2 CPU sockets</w:t>
      </w:r>
    </w:p>
    <w:p w14:paraId="46E80340" w14:textId="77777777" w:rsidR="00154278" w:rsidRPr="00154278" w:rsidRDefault="00154278" w:rsidP="00154278">
      <w:pPr>
        <w:numPr>
          <w:ilvl w:val="1"/>
          <w:numId w:val="12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Total: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Sylfaen" w:hAnsi="Sylfaen"/>
          <w:i/>
          <w:iCs/>
          <w:color w:val="365F91" w:themeColor="accent1" w:themeShade="BF"/>
          <w:sz w:val="24"/>
          <w:szCs w:val="24"/>
          <w:lang w:val="ka-GE"/>
        </w:rPr>
        <w:t>8 CPU sockets (VMware ESXi hosts)</w:t>
      </w:r>
    </w:p>
    <w:p w14:paraId="4DD19919" w14:textId="77777777" w:rsidR="00154278" w:rsidRPr="00154278" w:rsidRDefault="00154278" w:rsidP="00154278">
      <w:pPr>
        <w:numPr>
          <w:ilvl w:val="0"/>
          <w:numId w:val="12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A single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VMware vCenter Server Standard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instance manages the entire environment.</w:t>
      </w:r>
    </w:p>
    <w:p w14:paraId="7CEB2EAB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5F2D46D8">
          <v:rect id="_x0000_i1028" style="width:0;height:1.5pt" o:hralign="center" o:hrstd="t" o:hr="t" fillcolor="#a0a0a0" stroked="f"/>
        </w:pict>
      </w:r>
    </w:p>
    <w:p w14:paraId="3936FA14" w14:textId="70A4D31F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lastRenderedPageBreak/>
        <w:t>3. Objective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The Bank intends to procure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VMware environment licenses and one-year support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to maintain full operability and ensure vendor-supported virtualization infrastructure.</w:t>
      </w:r>
    </w:p>
    <w:p w14:paraId="0D24A33E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6703A675">
          <v:rect id="_x0000_i1029" style="width:0;height:1.5pt" o:hralign="center" o:hrstd="t" o:hr="t" fillcolor="#a0a0a0" stroked="f"/>
        </w:pict>
      </w:r>
    </w:p>
    <w:p w14:paraId="51972A0F" w14:textId="5E3DD620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4. Scope of Supply</w:t>
      </w:r>
    </w:p>
    <w:p w14:paraId="2F35658E" w14:textId="77777777" w:rsidR="00154278" w:rsidRPr="00154278" w:rsidRDefault="00154278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Vendors shall submit quotations for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three distinct scenarios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, as described below.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br/>
        <w:t>All proposed licenses and subscriptions must be official VMware products with valid serials, and eligible for VMware support and updates.</w:t>
      </w:r>
    </w:p>
    <w:p w14:paraId="2E85C5D7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Scenario 1 – VMware vSphere Standard 8 Edition</w:t>
      </w:r>
    </w:p>
    <w:p w14:paraId="5D0386FF" w14:textId="77777777" w:rsidR="00154278" w:rsidRPr="00154278" w:rsidRDefault="00154278" w:rsidP="00154278">
      <w:pPr>
        <w:numPr>
          <w:ilvl w:val="0"/>
          <w:numId w:val="13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VMware vSphere Standard 8 (ESXi) —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8 CPU licenses</w:t>
      </w:r>
    </w:p>
    <w:p w14:paraId="6B5EBFD2" w14:textId="77777777" w:rsidR="00154278" w:rsidRPr="00154278" w:rsidRDefault="00154278" w:rsidP="00154278">
      <w:pPr>
        <w:numPr>
          <w:ilvl w:val="0"/>
          <w:numId w:val="13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VMware vCenter Server Standard 8 —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1 license</w:t>
      </w:r>
    </w:p>
    <w:p w14:paraId="2CF1DDAA" w14:textId="77777777" w:rsidR="00154278" w:rsidRPr="00154278" w:rsidRDefault="00154278" w:rsidP="00154278">
      <w:pPr>
        <w:numPr>
          <w:ilvl w:val="0"/>
          <w:numId w:val="13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1-year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Support and Subscription (SnS)</w:t>
      </w:r>
    </w:p>
    <w:p w14:paraId="55D19EB2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Scenario 2 – VMware vSphere Enterprise Plus 8 Edition</w:t>
      </w:r>
    </w:p>
    <w:p w14:paraId="65C1E7A1" w14:textId="77777777" w:rsidR="00154278" w:rsidRPr="00154278" w:rsidRDefault="00154278" w:rsidP="00154278">
      <w:pPr>
        <w:numPr>
          <w:ilvl w:val="0"/>
          <w:numId w:val="14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VMware vSphere Enterprise Plus 8 (ESXi) —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8 CPU licenses</w:t>
      </w:r>
    </w:p>
    <w:p w14:paraId="5AE00AF1" w14:textId="77777777" w:rsidR="00154278" w:rsidRPr="00154278" w:rsidRDefault="00154278" w:rsidP="00154278">
      <w:pPr>
        <w:numPr>
          <w:ilvl w:val="0"/>
          <w:numId w:val="14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VMware vCenter Server Standard 8 —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1 license</w:t>
      </w:r>
    </w:p>
    <w:p w14:paraId="60109844" w14:textId="77777777" w:rsidR="00154278" w:rsidRPr="00154278" w:rsidRDefault="00154278" w:rsidP="00154278">
      <w:pPr>
        <w:numPr>
          <w:ilvl w:val="0"/>
          <w:numId w:val="14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1-year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Support and Subscription (SnS)</w:t>
      </w:r>
    </w:p>
    <w:p w14:paraId="77AE44F0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Scenario 3 – VMware vSphere Foundation 9 Edition (Subscription Model)</w:t>
      </w:r>
    </w:p>
    <w:p w14:paraId="73979C07" w14:textId="3D6E58D0" w:rsidR="00154278" w:rsidRPr="00154278" w:rsidRDefault="00154278" w:rsidP="00154278">
      <w:pPr>
        <w:numPr>
          <w:ilvl w:val="0"/>
          <w:numId w:val="15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VMware vSphere Foundation 9 (Subscription model)</w:t>
      </w:r>
      <w:r w:rsidRPr="00640425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— covering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equivalent of 8 CPUs / 4 hosts</w:t>
      </w:r>
    </w:p>
    <w:p w14:paraId="1A49A7AA" w14:textId="77777777" w:rsidR="00154278" w:rsidRPr="00154278" w:rsidRDefault="00154278" w:rsidP="00154278">
      <w:pPr>
        <w:numPr>
          <w:ilvl w:val="0"/>
          <w:numId w:val="15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Vendor must specify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whether vCenter Server is included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in the Foundation package; if not, provide a separate line item for VMware vCenter Server Standard 9 (or latest).</w:t>
      </w:r>
    </w:p>
    <w:p w14:paraId="234C8C84" w14:textId="0CC452EC" w:rsidR="000D4F53" w:rsidRPr="00A84B40" w:rsidRDefault="00154278" w:rsidP="00154278">
      <w:pPr>
        <w:numPr>
          <w:ilvl w:val="0"/>
          <w:numId w:val="15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1-year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subscription support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(production-level support).</w:t>
      </w:r>
    </w:p>
    <w:p w14:paraId="4E549E21" w14:textId="77777777" w:rsidR="00A84B40" w:rsidRDefault="00A84B40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72AFC318" w14:textId="77777777" w:rsidR="00A84B40" w:rsidRDefault="00A84B40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3245C7EA" w14:textId="77777777" w:rsidR="00A84B40" w:rsidRDefault="00A84B40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0C310C96" w14:textId="77777777" w:rsidR="00A84B40" w:rsidRDefault="00A84B40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6EE2BFC9" w14:textId="77777777" w:rsidR="00A84B40" w:rsidRDefault="00A84B40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29AF0AFE" w14:textId="50BC9D13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5. Pricing Requirements</w:t>
      </w:r>
    </w:p>
    <w:p w14:paraId="3B457BB4" w14:textId="77777777" w:rsidR="00154278" w:rsidRPr="00154278" w:rsidRDefault="00154278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The proposal must clearly separate the following: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02"/>
        <w:gridCol w:w="896"/>
        <w:gridCol w:w="986"/>
        <w:gridCol w:w="878"/>
        <w:gridCol w:w="794"/>
        <w:gridCol w:w="1524"/>
        <w:gridCol w:w="983"/>
      </w:tblGrid>
      <w:tr w:rsidR="00640425" w:rsidRPr="00640425" w14:paraId="0BCBCDF1" w14:textId="77777777" w:rsidTr="000D4F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A78287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C476296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99E03E9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1E08DF62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556E6EFE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Unit Price (USD)</w:t>
            </w:r>
          </w:p>
        </w:tc>
        <w:tc>
          <w:tcPr>
            <w:tcW w:w="0" w:type="auto"/>
            <w:vAlign w:val="center"/>
            <w:hideMark/>
          </w:tcPr>
          <w:p w14:paraId="08A4EF8D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Total (USD)</w:t>
            </w:r>
          </w:p>
        </w:tc>
        <w:tc>
          <w:tcPr>
            <w:tcW w:w="0" w:type="auto"/>
            <w:vAlign w:val="center"/>
            <w:hideMark/>
          </w:tcPr>
          <w:p w14:paraId="3A86AF91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License Type</w:t>
            </w:r>
          </w:p>
        </w:tc>
        <w:tc>
          <w:tcPr>
            <w:tcW w:w="0" w:type="auto"/>
            <w:vAlign w:val="center"/>
            <w:hideMark/>
          </w:tcPr>
          <w:p w14:paraId="5C0A221E" w14:textId="77777777" w:rsidR="00154278" w:rsidRPr="00154278" w:rsidRDefault="00154278" w:rsidP="00154278">
            <w:pPr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b/>
                <w:bCs/>
                <w:color w:val="365F91" w:themeColor="accent1" w:themeShade="BF"/>
                <w:sz w:val="24"/>
                <w:szCs w:val="24"/>
                <w:lang w:val="ka-GE"/>
              </w:rPr>
              <w:t>Support Term</w:t>
            </w:r>
          </w:p>
        </w:tc>
      </w:tr>
      <w:tr w:rsidR="00640425" w:rsidRPr="00640425" w14:paraId="0FB13BD6" w14:textId="77777777" w:rsidTr="000D4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83F64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949294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VMware vSphere (Edition and Version per scenario)</w:t>
            </w:r>
          </w:p>
        </w:tc>
        <w:tc>
          <w:tcPr>
            <w:tcW w:w="0" w:type="auto"/>
            <w:vAlign w:val="center"/>
            <w:hideMark/>
          </w:tcPr>
          <w:p w14:paraId="0FC81AE6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Per CPU</w:t>
            </w:r>
          </w:p>
        </w:tc>
        <w:tc>
          <w:tcPr>
            <w:tcW w:w="0" w:type="auto"/>
            <w:vAlign w:val="center"/>
            <w:hideMark/>
          </w:tcPr>
          <w:p w14:paraId="0ABCA8F3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AA1905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528E84C5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40885D00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Perpetual / Subscription</w:t>
            </w:r>
          </w:p>
        </w:tc>
        <w:tc>
          <w:tcPr>
            <w:tcW w:w="0" w:type="auto"/>
            <w:vAlign w:val="center"/>
            <w:hideMark/>
          </w:tcPr>
          <w:p w14:paraId="4A6494E7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1 Year</w:t>
            </w:r>
          </w:p>
        </w:tc>
      </w:tr>
      <w:tr w:rsidR="00640425" w:rsidRPr="00640425" w14:paraId="4BD57EE1" w14:textId="77777777" w:rsidTr="000D4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13306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1F1C16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VMware vCenter Server Standard</w:t>
            </w:r>
          </w:p>
        </w:tc>
        <w:tc>
          <w:tcPr>
            <w:tcW w:w="0" w:type="auto"/>
            <w:vAlign w:val="center"/>
            <w:hideMark/>
          </w:tcPr>
          <w:p w14:paraId="77854697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Per License</w:t>
            </w:r>
          </w:p>
        </w:tc>
        <w:tc>
          <w:tcPr>
            <w:tcW w:w="0" w:type="auto"/>
            <w:vAlign w:val="center"/>
            <w:hideMark/>
          </w:tcPr>
          <w:p w14:paraId="4EF1FD73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950283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538E3E58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12FA9F3F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Perpetual / Subscription</w:t>
            </w:r>
          </w:p>
        </w:tc>
        <w:tc>
          <w:tcPr>
            <w:tcW w:w="0" w:type="auto"/>
            <w:vAlign w:val="center"/>
            <w:hideMark/>
          </w:tcPr>
          <w:p w14:paraId="33BBEF3B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1 Year</w:t>
            </w:r>
          </w:p>
        </w:tc>
      </w:tr>
      <w:tr w:rsidR="00640425" w:rsidRPr="00640425" w14:paraId="5838C785" w14:textId="77777777" w:rsidTr="000D4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14C69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8D4DB6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Support &amp; Subscription (SnS or Subscription Support)</w:t>
            </w:r>
          </w:p>
        </w:tc>
        <w:tc>
          <w:tcPr>
            <w:tcW w:w="0" w:type="auto"/>
            <w:vAlign w:val="center"/>
            <w:hideMark/>
          </w:tcPr>
          <w:p w14:paraId="00EAF25F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5060E347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  <w:r w:rsidRPr="00154278"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FC008C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71ADD36C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3494CAE6" w14:textId="77777777" w:rsidR="00154278" w:rsidRPr="00154278" w:rsidRDefault="00154278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  <w:hideMark/>
          </w:tcPr>
          <w:p w14:paraId="4B38AC5A" w14:textId="0CF2AB8F" w:rsidR="00154278" w:rsidRPr="008821E7" w:rsidRDefault="008821E7" w:rsidP="00154278">
            <w:pPr>
              <w:rPr>
                <w:rFonts w:ascii="Sylfaen" w:hAnsi="Sylfaen"/>
                <w:color w:val="365F91" w:themeColor="accent1" w:themeShade="BF"/>
                <w:sz w:val="24"/>
                <w:szCs w:val="24"/>
              </w:rPr>
            </w:pPr>
            <w:r>
              <w:rPr>
                <w:rFonts w:ascii="Sylfaen" w:hAnsi="Sylfaen"/>
                <w:color w:val="365F91" w:themeColor="accent1" w:themeShade="BF"/>
                <w:sz w:val="24"/>
                <w:szCs w:val="24"/>
                <w:lang w:val="ka-GE"/>
              </w:rPr>
              <w:t>1-3 Year</w:t>
            </w:r>
          </w:p>
        </w:tc>
      </w:tr>
    </w:tbl>
    <w:p w14:paraId="154B1675" w14:textId="77777777" w:rsidR="00154278" w:rsidRPr="00154278" w:rsidRDefault="00154278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Each scenario must show:</w:t>
      </w:r>
    </w:p>
    <w:p w14:paraId="7CA93182" w14:textId="77777777" w:rsidR="00154278" w:rsidRPr="00154278" w:rsidRDefault="00154278" w:rsidP="00154278">
      <w:pPr>
        <w:numPr>
          <w:ilvl w:val="0"/>
          <w:numId w:val="16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License-only price</w:t>
      </w:r>
    </w:p>
    <w:p w14:paraId="01DD5279" w14:textId="77777777" w:rsidR="00154278" w:rsidRPr="00154278" w:rsidRDefault="00154278" w:rsidP="00154278">
      <w:pPr>
        <w:numPr>
          <w:ilvl w:val="0"/>
          <w:numId w:val="16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License + Support price</w:t>
      </w:r>
    </w:p>
    <w:p w14:paraId="22B1A461" w14:textId="77777777" w:rsidR="00154278" w:rsidRPr="00154278" w:rsidRDefault="00154278" w:rsidP="00154278">
      <w:pPr>
        <w:numPr>
          <w:ilvl w:val="0"/>
          <w:numId w:val="16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License type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(Perpetual / Subscription)</w:t>
      </w:r>
    </w:p>
    <w:p w14:paraId="13FBEE77" w14:textId="77777777" w:rsidR="00154278" w:rsidRPr="00154278" w:rsidRDefault="00154278" w:rsidP="00154278">
      <w:pPr>
        <w:numPr>
          <w:ilvl w:val="0"/>
          <w:numId w:val="16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Support term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(1 year)</w:t>
      </w:r>
    </w:p>
    <w:p w14:paraId="41D03673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65F847AE">
          <v:rect id="_x0000_i1030" style="width:0;height:1.5pt" o:hralign="center" o:hrstd="t" o:hr="t" fillcolor="#a0a0a0" stroked="f"/>
        </w:pict>
      </w:r>
    </w:p>
    <w:p w14:paraId="0FB710D7" w14:textId="77777777" w:rsidR="00673A9F" w:rsidRDefault="00673A9F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14C66F03" w14:textId="77777777" w:rsidR="00673A9F" w:rsidRDefault="00673A9F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058C677D" w14:textId="77777777" w:rsidR="00673A9F" w:rsidRDefault="00673A9F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795B8BFB" w14:textId="77777777" w:rsidR="00673A9F" w:rsidRDefault="00673A9F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6BC5A41B" w14:textId="766AC6DA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6. Support and Subscription Requirements</w:t>
      </w:r>
    </w:p>
    <w:p w14:paraId="183580D8" w14:textId="77777777" w:rsidR="00154278" w:rsidRPr="00154278" w:rsidRDefault="00154278" w:rsidP="00154278">
      <w:pPr>
        <w:numPr>
          <w:ilvl w:val="0"/>
          <w:numId w:val="17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For perpetual licenses — include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1-year SnS (Support and Subscription)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.</w:t>
      </w:r>
    </w:p>
    <w:p w14:paraId="579C9AA3" w14:textId="77777777" w:rsidR="00154278" w:rsidRPr="00154278" w:rsidRDefault="00154278" w:rsidP="00154278">
      <w:pPr>
        <w:numPr>
          <w:ilvl w:val="0"/>
          <w:numId w:val="17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For subscription-based licenses — include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1-year production support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.</w:t>
      </w:r>
    </w:p>
    <w:p w14:paraId="2DE53396" w14:textId="77777777" w:rsidR="00154278" w:rsidRPr="00154278" w:rsidRDefault="00154278" w:rsidP="00154278">
      <w:pPr>
        <w:numPr>
          <w:ilvl w:val="0"/>
          <w:numId w:val="17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Support must include:</w:t>
      </w:r>
    </w:p>
    <w:p w14:paraId="4CF8C933" w14:textId="77777777" w:rsidR="00154278" w:rsidRPr="00154278" w:rsidRDefault="00154278" w:rsidP="00154278">
      <w:pPr>
        <w:numPr>
          <w:ilvl w:val="1"/>
          <w:numId w:val="17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Access to all minor/major VMware updates and patches;</w:t>
      </w:r>
    </w:p>
    <w:p w14:paraId="0E016A13" w14:textId="3C6BC614" w:rsidR="00154278" w:rsidRPr="00154278" w:rsidRDefault="00154278" w:rsidP="00A84B40">
      <w:pPr>
        <w:numPr>
          <w:ilvl w:val="1"/>
          <w:numId w:val="17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24×7 vendor technical support (via portal, email, and hotline);Case management via VMware Customer Connect portal.</w:t>
      </w:r>
    </w:p>
    <w:p w14:paraId="674F1B44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00E2D38E">
          <v:rect id="_x0000_i1031" style="width:0;height:1.5pt" o:hralign="center" o:hrstd="t" o:hr="t" fillcolor="#a0a0a0" stroked="f"/>
        </w:pict>
      </w:r>
    </w:p>
    <w:p w14:paraId="60D5DAAA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7. Delivery and Documentation</w:t>
      </w:r>
    </w:p>
    <w:p w14:paraId="0732993B" w14:textId="77777777" w:rsidR="00154278" w:rsidRPr="00154278" w:rsidRDefault="00154278" w:rsidP="00154278">
      <w:pPr>
        <w:numPr>
          <w:ilvl w:val="0"/>
          <w:numId w:val="18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Vendor shall deliver all activation keys and entitlement documentation electronically to Cartu Bank’s designated contact.</w:t>
      </w:r>
    </w:p>
    <w:p w14:paraId="3B2D2E5F" w14:textId="77777777" w:rsidR="00154278" w:rsidRPr="00154278" w:rsidRDefault="00154278" w:rsidP="00154278">
      <w:pPr>
        <w:numPr>
          <w:ilvl w:val="0"/>
          <w:numId w:val="18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Support entitlement shall be registered under Cartu Bank’s VMware account (MyVMware portal).</w:t>
      </w:r>
    </w:p>
    <w:p w14:paraId="4F58C65B" w14:textId="77777777" w:rsidR="00154278" w:rsidRPr="00154278" w:rsidRDefault="00154278" w:rsidP="00154278">
      <w:pPr>
        <w:numPr>
          <w:ilvl w:val="0"/>
          <w:numId w:val="18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All licenses must be traceable to VMware OEM or authorized reseller.</w:t>
      </w:r>
    </w:p>
    <w:p w14:paraId="1BBE74B7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18DA8CEF">
          <v:rect id="_x0000_i1032" style="width:0;height:1.5pt" o:hralign="center" o:hrstd="t" o:hr="t" fillcolor="#a0a0a0" stroked="f"/>
        </w:pict>
      </w:r>
    </w:p>
    <w:p w14:paraId="74905A48" w14:textId="77777777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8. Evaluation Criteria</w:t>
      </w:r>
    </w:p>
    <w:p w14:paraId="60E47923" w14:textId="77777777" w:rsidR="00154278" w:rsidRPr="00154278" w:rsidRDefault="00154278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Proposals will be evaluated based on:</w:t>
      </w:r>
    </w:p>
    <w:p w14:paraId="38080CA8" w14:textId="77777777" w:rsidR="00154278" w:rsidRPr="00154278" w:rsidRDefault="00154278" w:rsidP="00154278">
      <w:pPr>
        <w:numPr>
          <w:ilvl w:val="0"/>
          <w:numId w:val="19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Compliance with the above technical and licensing requirements;</w:t>
      </w:r>
    </w:p>
    <w:p w14:paraId="27DA53D0" w14:textId="77777777" w:rsidR="00154278" w:rsidRPr="00154278" w:rsidRDefault="00154278" w:rsidP="00154278">
      <w:pPr>
        <w:numPr>
          <w:ilvl w:val="0"/>
          <w:numId w:val="19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Clarity and completeness of pricing structure;</w:t>
      </w:r>
    </w:p>
    <w:p w14:paraId="7DCE10AD" w14:textId="77777777" w:rsidR="00154278" w:rsidRPr="00154278" w:rsidRDefault="00154278" w:rsidP="00154278">
      <w:pPr>
        <w:numPr>
          <w:ilvl w:val="0"/>
          <w:numId w:val="19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Total cost of ownership (TCO) for each scenario;</w:t>
      </w:r>
    </w:p>
    <w:p w14:paraId="6562ACF0" w14:textId="77777777" w:rsidR="00154278" w:rsidRPr="00154278" w:rsidRDefault="00154278" w:rsidP="00154278">
      <w:pPr>
        <w:numPr>
          <w:ilvl w:val="0"/>
          <w:numId w:val="19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Support coverage and vendor certification level;</w:t>
      </w:r>
    </w:p>
    <w:p w14:paraId="15916934" w14:textId="77777777" w:rsidR="00154278" w:rsidRPr="00154278" w:rsidRDefault="00154278" w:rsidP="00154278">
      <w:pPr>
        <w:numPr>
          <w:ilvl w:val="0"/>
          <w:numId w:val="19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lastRenderedPageBreak/>
        <w:t>Delivery and activation lead time.</w:t>
      </w:r>
    </w:p>
    <w:p w14:paraId="067DA698" w14:textId="77777777" w:rsidR="00154278" w:rsidRPr="00154278" w:rsidRDefault="00000000" w:rsidP="00154278">
      <w:p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>
        <w:rPr>
          <w:rFonts w:ascii="Sylfaen" w:hAnsi="Sylfaen"/>
          <w:color w:val="365F91" w:themeColor="accent1" w:themeShade="BF"/>
          <w:sz w:val="24"/>
          <w:szCs w:val="24"/>
          <w:lang w:val="ka-GE"/>
        </w:rPr>
        <w:pict w14:anchorId="135D75F5">
          <v:rect id="_x0000_i1033" style="width:0;height:1.5pt" o:hralign="center" o:hrstd="t" o:hr="t" fillcolor="#a0a0a0" stroked="f"/>
        </w:pict>
      </w:r>
    </w:p>
    <w:p w14:paraId="0602CA4A" w14:textId="77777777" w:rsidR="0043364F" w:rsidRDefault="0043364F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</w:p>
    <w:p w14:paraId="1D6CB943" w14:textId="12E5693B" w:rsidR="00154278" w:rsidRPr="00154278" w:rsidRDefault="00154278" w:rsidP="00154278">
      <w:pPr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9. Additional Conditions</w:t>
      </w:r>
    </w:p>
    <w:p w14:paraId="6F0C00F9" w14:textId="77777777" w:rsidR="00154278" w:rsidRPr="00154278" w:rsidRDefault="00154278" w:rsidP="00154278">
      <w:pPr>
        <w:numPr>
          <w:ilvl w:val="0"/>
          <w:numId w:val="20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Vendor must specify license delivery lead time.</w:t>
      </w:r>
    </w:p>
    <w:p w14:paraId="3A8E5528" w14:textId="77777777" w:rsidR="00154278" w:rsidRPr="00154278" w:rsidRDefault="00154278" w:rsidP="00154278">
      <w:pPr>
        <w:numPr>
          <w:ilvl w:val="0"/>
          <w:numId w:val="20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All software must be genuine VMware products.</w:t>
      </w:r>
    </w:p>
    <w:p w14:paraId="0165AD63" w14:textId="77777777" w:rsidR="00154278" w:rsidRPr="00154278" w:rsidRDefault="00154278" w:rsidP="00154278">
      <w:pPr>
        <w:numPr>
          <w:ilvl w:val="0"/>
          <w:numId w:val="20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Proposals must remain valid for at least </w:t>
      </w:r>
      <w:r w:rsidRPr="00154278">
        <w:rPr>
          <w:rFonts w:ascii="Sylfaen" w:hAnsi="Sylfaen"/>
          <w:b/>
          <w:bCs/>
          <w:color w:val="365F91" w:themeColor="accent1" w:themeShade="BF"/>
          <w:sz w:val="24"/>
          <w:szCs w:val="24"/>
          <w:lang w:val="ka-GE"/>
        </w:rPr>
        <w:t>30 calendar days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.</w:t>
      </w:r>
    </w:p>
    <w:p w14:paraId="2F60DF83" w14:textId="6B6D2E84" w:rsidR="003F4047" w:rsidRPr="00640425" w:rsidRDefault="00154278" w:rsidP="00154278">
      <w:pPr>
        <w:numPr>
          <w:ilvl w:val="0"/>
          <w:numId w:val="20"/>
        </w:numPr>
        <w:rPr>
          <w:rFonts w:ascii="Sylfaen" w:hAnsi="Sylfaen"/>
          <w:color w:val="365F91" w:themeColor="accent1" w:themeShade="BF"/>
          <w:sz w:val="24"/>
          <w:szCs w:val="24"/>
          <w:lang w:val="ka-GE"/>
        </w:rPr>
      </w:pP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The Bank reserves the right to purchase any of the proposed scenarios or combinations there</w:t>
      </w:r>
      <w:r w:rsidR="00CE55FC" w:rsidRPr="00640425">
        <w:rPr>
          <w:rFonts w:ascii="Sylfaen" w:hAnsi="Sylfaen"/>
          <w:color w:val="365F91" w:themeColor="accent1" w:themeShade="BF"/>
          <w:sz w:val="24"/>
          <w:szCs w:val="24"/>
          <w:lang w:val="ka-GE"/>
        </w:rPr>
        <w:t xml:space="preserve"> </w:t>
      </w:r>
      <w:r w:rsidRPr="00154278">
        <w:rPr>
          <w:rFonts w:ascii="Sylfaen" w:hAnsi="Sylfaen"/>
          <w:color w:val="365F91" w:themeColor="accent1" w:themeShade="BF"/>
          <w:sz w:val="24"/>
          <w:szCs w:val="24"/>
          <w:lang w:val="ka-GE"/>
        </w:rPr>
        <w:t>of.</w:t>
      </w:r>
    </w:p>
    <w:sectPr w:rsidR="003F4047" w:rsidRPr="006404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23CE5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03761"/>
    <w:multiLevelType w:val="multilevel"/>
    <w:tmpl w:val="9BC4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90A03"/>
    <w:multiLevelType w:val="multilevel"/>
    <w:tmpl w:val="794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92F94"/>
    <w:multiLevelType w:val="multilevel"/>
    <w:tmpl w:val="0328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E1605"/>
    <w:multiLevelType w:val="multilevel"/>
    <w:tmpl w:val="D66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66B71"/>
    <w:multiLevelType w:val="multilevel"/>
    <w:tmpl w:val="13B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B7000"/>
    <w:multiLevelType w:val="multilevel"/>
    <w:tmpl w:val="0058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57254"/>
    <w:multiLevelType w:val="multilevel"/>
    <w:tmpl w:val="AC68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B0090"/>
    <w:multiLevelType w:val="multilevel"/>
    <w:tmpl w:val="6A0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E075F"/>
    <w:multiLevelType w:val="multilevel"/>
    <w:tmpl w:val="E2E2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9652C"/>
    <w:multiLevelType w:val="multilevel"/>
    <w:tmpl w:val="3D12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81835"/>
    <w:multiLevelType w:val="multilevel"/>
    <w:tmpl w:val="B24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2107">
    <w:abstractNumId w:val="8"/>
  </w:num>
  <w:num w:numId="2" w16cid:durableId="1032073298">
    <w:abstractNumId w:val="6"/>
  </w:num>
  <w:num w:numId="3" w16cid:durableId="2092389264">
    <w:abstractNumId w:val="5"/>
  </w:num>
  <w:num w:numId="4" w16cid:durableId="1223978533">
    <w:abstractNumId w:val="4"/>
  </w:num>
  <w:num w:numId="5" w16cid:durableId="1287925617">
    <w:abstractNumId w:val="7"/>
  </w:num>
  <w:num w:numId="6" w16cid:durableId="41948170">
    <w:abstractNumId w:val="3"/>
  </w:num>
  <w:num w:numId="7" w16cid:durableId="1518346430">
    <w:abstractNumId w:val="2"/>
  </w:num>
  <w:num w:numId="8" w16cid:durableId="681514422">
    <w:abstractNumId w:val="1"/>
  </w:num>
  <w:num w:numId="9" w16cid:durableId="858466700">
    <w:abstractNumId w:val="0"/>
  </w:num>
  <w:num w:numId="10" w16cid:durableId="146702317">
    <w:abstractNumId w:val="10"/>
  </w:num>
  <w:num w:numId="11" w16cid:durableId="80638742">
    <w:abstractNumId w:val="19"/>
  </w:num>
  <w:num w:numId="12" w16cid:durableId="1586719382">
    <w:abstractNumId w:val="11"/>
  </w:num>
  <w:num w:numId="13" w16cid:durableId="726688253">
    <w:abstractNumId w:val="15"/>
  </w:num>
  <w:num w:numId="14" w16cid:durableId="1259408695">
    <w:abstractNumId w:val="17"/>
  </w:num>
  <w:num w:numId="15" w16cid:durableId="54208809">
    <w:abstractNumId w:val="12"/>
  </w:num>
  <w:num w:numId="16" w16cid:durableId="715593101">
    <w:abstractNumId w:val="14"/>
  </w:num>
  <w:num w:numId="17" w16cid:durableId="26832391">
    <w:abstractNumId w:val="9"/>
  </w:num>
  <w:num w:numId="18" w16cid:durableId="432820191">
    <w:abstractNumId w:val="16"/>
  </w:num>
  <w:num w:numId="19" w16cid:durableId="522286839">
    <w:abstractNumId w:val="18"/>
  </w:num>
  <w:num w:numId="20" w16cid:durableId="876772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9BF"/>
    <w:rsid w:val="0001555B"/>
    <w:rsid w:val="00034616"/>
    <w:rsid w:val="0004623A"/>
    <w:rsid w:val="00054348"/>
    <w:rsid w:val="0006063C"/>
    <w:rsid w:val="000D4F53"/>
    <w:rsid w:val="00110639"/>
    <w:rsid w:val="00117BC8"/>
    <w:rsid w:val="0013069D"/>
    <w:rsid w:val="0015074B"/>
    <w:rsid w:val="00154278"/>
    <w:rsid w:val="001B6394"/>
    <w:rsid w:val="00237E33"/>
    <w:rsid w:val="0029639D"/>
    <w:rsid w:val="002A110D"/>
    <w:rsid w:val="002E554A"/>
    <w:rsid w:val="00321A87"/>
    <w:rsid w:val="00326F90"/>
    <w:rsid w:val="003275FC"/>
    <w:rsid w:val="00361C64"/>
    <w:rsid w:val="003A6DAC"/>
    <w:rsid w:val="003F4047"/>
    <w:rsid w:val="00413851"/>
    <w:rsid w:val="00415A8A"/>
    <w:rsid w:val="0043364F"/>
    <w:rsid w:val="00485363"/>
    <w:rsid w:val="004A54D0"/>
    <w:rsid w:val="004F11E7"/>
    <w:rsid w:val="00554344"/>
    <w:rsid w:val="00640425"/>
    <w:rsid w:val="00673A9F"/>
    <w:rsid w:val="00686740"/>
    <w:rsid w:val="006940CD"/>
    <w:rsid w:val="00697FAF"/>
    <w:rsid w:val="007055BE"/>
    <w:rsid w:val="007461B4"/>
    <w:rsid w:val="0079090C"/>
    <w:rsid w:val="00794138"/>
    <w:rsid w:val="007A523B"/>
    <w:rsid w:val="008821E7"/>
    <w:rsid w:val="008D7D55"/>
    <w:rsid w:val="00917245"/>
    <w:rsid w:val="009214E3"/>
    <w:rsid w:val="0095658A"/>
    <w:rsid w:val="00A51CE5"/>
    <w:rsid w:val="00A762CA"/>
    <w:rsid w:val="00A84B40"/>
    <w:rsid w:val="00AA1D8D"/>
    <w:rsid w:val="00B47730"/>
    <w:rsid w:val="00CB0664"/>
    <w:rsid w:val="00CE55FC"/>
    <w:rsid w:val="00D33B54"/>
    <w:rsid w:val="00D74DEA"/>
    <w:rsid w:val="00D96AD5"/>
    <w:rsid w:val="00DA4327"/>
    <w:rsid w:val="00E57FDA"/>
    <w:rsid w:val="00F335D5"/>
    <w:rsid w:val="00F73D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F0C3F"/>
  <w14:defaultImageDpi w14:val="300"/>
  <w15:docId w15:val="{B8369CC6-CAC2-4B87-B73C-AC1868E7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essageHeaderLabel">
    <w:name w:val="Message Header Label"/>
    <w:rsid w:val="00485363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3331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Irakli Shengelaia</cp:lastModifiedBy>
  <cp:revision>4</cp:revision>
  <dcterms:created xsi:type="dcterms:W3CDTF">2025-11-12T07:45:00Z</dcterms:created>
  <dcterms:modified xsi:type="dcterms:W3CDTF">2025-11-12T07:45:00Z</dcterms:modified>
  <cp:category/>
</cp:coreProperties>
</file>