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54E65605" w:rsidR="00B13E5A" w:rsidRPr="00B13E5A" w:rsidRDefault="00E82A05" w:rsidP="00EC701A">
      <w:pPr>
        <w:spacing w:after="0"/>
        <w:jc w:val="center"/>
        <w:rPr>
          <w:rFonts w:ascii="Sylfaen" w:hAnsi="Sylfaen" w:cs="Sylfaen"/>
          <w:b/>
          <w:sz w:val="28"/>
          <w:szCs w:val="28"/>
          <w:lang w:val="ka-GE"/>
        </w:rPr>
      </w:pPr>
      <w:r w:rsidRPr="00E82A05">
        <w:rPr>
          <w:rFonts w:ascii="Sylfaen" w:hAnsi="Sylfaen" w:cs="Sylfaen"/>
          <w:b/>
          <w:sz w:val="28"/>
          <w:szCs w:val="28"/>
        </w:rPr>
        <w:t xml:space="preserve">შესყიდვის საგანს წარმოადგენს </w:t>
      </w:r>
      <w:r w:rsidR="00B13E5A">
        <w:rPr>
          <w:rFonts w:ascii="Sylfaen" w:hAnsi="Sylfaen" w:cs="Sylfaen"/>
          <w:b/>
          <w:sz w:val="28"/>
          <w:szCs w:val="28"/>
          <w:lang w:val="ka-GE"/>
        </w:rPr>
        <w:t>წნევის გამაძლიერებელი სატუმბის სადგურ</w:t>
      </w:r>
      <w:r w:rsidR="00B6583C">
        <w:rPr>
          <w:rFonts w:ascii="Sylfaen" w:hAnsi="Sylfaen" w:cs="Sylfaen"/>
          <w:b/>
          <w:sz w:val="28"/>
          <w:szCs w:val="28"/>
          <w:lang w:val="ka-GE"/>
        </w:rPr>
        <w:t>ებ</w:t>
      </w:r>
      <w:r w:rsidR="00B13E5A">
        <w:rPr>
          <w:rFonts w:ascii="Sylfaen" w:hAnsi="Sylfaen" w:cs="Sylfaen"/>
          <w:b/>
          <w:sz w:val="28"/>
          <w:szCs w:val="28"/>
          <w:lang w:val="ka-GE"/>
        </w:rPr>
        <w:t>ის ელექტრო ნაწილის რეაბილიტაცია</w:t>
      </w:r>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4EDD1F68" w14:textId="77777777" w:rsidR="00796735" w:rsidRPr="00EC701A" w:rsidRDefault="009364A1" w:rsidP="00BA3128">
      <w:pPr>
        <w:spacing w:after="0"/>
        <w:jc w:val="both"/>
        <w:rPr>
          <w:rFonts w:ascii="Sylfaen" w:hAnsi="Sylfaen" w:cs="Calibri"/>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B13E5A" w:rsidRPr="00B13E5A">
        <w:rPr>
          <w:rFonts w:ascii="Sylfaen" w:hAnsi="Sylfaen" w:cs="Sylfaen"/>
          <w:b/>
          <w:sz w:val="20"/>
          <w:szCs w:val="20"/>
          <w:lang w:val="ka-GE"/>
        </w:rPr>
        <w:t>წნევის გამაძლიერებელი სატუმბის სადგურის ელექტრო ნაწილის რეაბილიტაცია</w:t>
      </w:r>
      <w:r w:rsidR="00B13E5A">
        <w:rPr>
          <w:rFonts w:ascii="Sylfaen" w:hAnsi="Sylfaen" w:cs="Sylfaen"/>
          <w:b/>
          <w:sz w:val="20"/>
          <w:szCs w:val="20"/>
          <w:lang w:val="ka-GE"/>
        </w:rPr>
        <w:t>ზე</w:t>
      </w:r>
    </w:p>
    <w:p w14:paraId="140AAB48" w14:textId="77777777"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261861FE"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87257C">
        <w:rPr>
          <w:rFonts w:ascii="Sylfaen" w:hAnsi="Sylfaen" w:cs="Sylfaen"/>
          <w:sz w:val="20"/>
          <w:szCs w:val="20"/>
          <w:lang w:val="ka-GE"/>
        </w:rPr>
        <w:t xml:space="preserve"> -</w:t>
      </w:r>
      <w:r w:rsidR="00436CBA">
        <w:rPr>
          <w:rFonts w:ascii="Sylfaen" w:hAnsi="Sylfaen" w:cs="Sylfaen"/>
          <w:sz w:val="20"/>
          <w:szCs w:val="20"/>
          <w:lang w:val="ka-GE"/>
        </w:rPr>
        <w:t xml:space="preserve"> N</w:t>
      </w:r>
      <w:r w:rsidR="0087257C">
        <w:rPr>
          <w:rFonts w:ascii="Sylfaen" w:hAnsi="Sylfaen" w:cs="Sylfaen"/>
          <w:sz w:val="20"/>
          <w:szCs w:val="20"/>
          <w:lang w:val="ka-GE"/>
        </w:rPr>
        <w:t>6</w:t>
      </w:r>
      <w:r w:rsidRPr="00EC701A">
        <w:rPr>
          <w:rFonts w:ascii="Sylfaen" w:hAnsi="Sylfaen" w:cs="Sylfaen"/>
          <w:sz w:val="20"/>
          <w:szCs w:val="20"/>
          <w:lang w:val="ka-GE"/>
        </w:rPr>
        <w:t>-</w:t>
      </w:r>
      <w:r w:rsidR="00EC701A" w:rsidRPr="00EC701A">
        <w:rPr>
          <w:rFonts w:ascii="Sylfaen" w:hAnsi="Sylfaen" w:cs="Sylfaen"/>
          <w:sz w:val="20"/>
          <w:szCs w:val="20"/>
          <w:lang w:val="ka-GE"/>
        </w:rPr>
        <w:t>ში (ტექნიკური დავალება).</w:t>
      </w:r>
    </w:p>
    <w:p w14:paraId="20C6A56E" w14:textId="77777777" w:rsidR="00B37271" w:rsidRDefault="00B37271" w:rsidP="00BA3128">
      <w:pPr>
        <w:spacing w:after="0"/>
        <w:jc w:val="both"/>
        <w:rPr>
          <w:rFonts w:ascii="Sylfaen" w:hAnsi="Sylfaen" w:cs="Sylfaen"/>
          <w:sz w:val="20"/>
          <w:szCs w:val="20"/>
          <w:lang w:val="ka-GE"/>
        </w:rPr>
      </w:pPr>
    </w:p>
    <w:p w14:paraId="7FC53CE8" w14:textId="77777777" w:rsidR="00B37271" w:rsidRPr="00B37271" w:rsidRDefault="00B37271" w:rsidP="00B37271">
      <w:pPr>
        <w:spacing w:after="0"/>
        <w:jc w:val="both"/>
        <w:rPr>
          <w:rFonts w:ascii="Sylfaen" w:hAnsi="Sylfaen" w:cs="Sylfaen"/>
          <w:b/>
          <w:sz w:val="20"/>
          <w:szCs w:val="20"/>
          <w:lang w:val="ka-GE"/>
        </w:rPr>
      </w:pPr>
      <w:r w:rsidRPr="00B37271">
        <w:rPr>
          <w:rFonts w:ascii="Sylfaen" w:hAnsi="Sylfaen" w:cs="Sylfaen"/>
          <w:b/>
          <w:sz w:val="20"/>
          <w:szCs w:val="20"/>
          <w:lang w:val="ka-GE"/>
        </w:rPr>
        <w:t>განსაკუთრებული მოთხოვნა:</w:t>
      </w:r>
    </w:p>
    <w:p w14:paraId="4CBE8937" w14:textId="77777777" w:rsidR="00B37271" w:rsidRPr="00B37271" w:rsidRDefault="00B37271" w:rsidP="00B37271">
      <w:pPr>
        <w:spacing w:after="0"/>
        <w:jc w:val="both"/>
        <w:rPr>
          <w:rFonts w:ascii="Sylfaen" w:hAnsi="Sylfaen" w:cs="Sylfaen"/>
          <w:sz w:val="20"/>
          <w:szCs w:val="20"/>
          <w:lang w:val="ka-GE"/>
        </w:rPr>
      </w:pPr>
    </w:p>
    <w:p w14:paraId="37FB2A95" w14:textId="7945221C"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 xml:space="preserve">ტენდერში გამარჯვებული კომპანია </w:t>
      </w:r>
      <w:r w:rsidRPr="00D3321C">
        <w:rPr>
          <w:rFonts w:ascii="Sylfaen" w:hAnsi="Sylfaen" w:cs="Sylfaen"/>
          <w:sz w:val="20"/>
          <w:szCs w:val="20"/>
          <w:lang w:val="ka-GE"/>
        </w:rPr>
        <w:t xml:space="preserve">ვალდებულია ხელშეკრულების გაფორმების შემდეგ </w:t>
      </w:r>
      <w:r w:rsidR="009E20D7">
        <w:rPr>
          <w:rFonts w:ascii="Sylfaen" w:hAnsi="Sylfaen" w:cs="Sylfaen"/>
          <w:sz w:val="20"/>
          <w:szCs w:val="20"/>
          <w:lang w:val="ka-GE"/>
        </w:rPr>
        <w:t xml:space="preserve">წარმოადგინოს </w:t>
      </w:r>
      <w:r w:rsidRPr="00D3321C">
        <w:rPr>
          <w:rFonts w:ascii="Sylfaen" w:hAnsi="Sylfaen" w:cs="Sylfaen"/>
          <w:sz w:val="20"/>
          <w:szCs w:val="20"/>
          <w:lang w:val="ka-GE"/>
        </w:rPr>
        <w:t>საშემსრულებლო დოკუმენტაცია</w:t>
      </w:r>
    </w:p>
    <w:p w14:paraId="65312D8B"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სამშენებლო სამუშაოების გაწევის ყველა ეტაპზე, სამუშაო ადგილზე გამარჯვებულ კომპანიას წარმოდგენილი უნდა ჰყავდეს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2AAD1C9E" w14:textId="77777777" w:rsidR="00CE56EA" w:rsidRPr="00EC701A" w:rsidRDefault="00CE56EA" w:rsidP="00BA3128">
      <w:pPr>
        <w:spacing w:after="0"/>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r w:rsidRPr="00EC701A">
        <w:rPr>
          <w:rFonts w:ascii="Sylfaen" w:hAnsi="Sylfaen" w:cs="Sylfaen"/>
          <w:color w:val="222222"/>
          <w:sz w:val="20"/>
          <w:szCs w:val="20"/>
          <w:shd w:val="clear" w:color="auto" w:fill="FFFFFF"/>
        </w:rPr>
        <w:t>პრეტენდენტმა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უნდა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წარმოადგინოს</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განფასება</w:t>
      </w:r>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77777777"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047536" w:rsidRPr="00047536">
        <w:rPr>
          <w:rFonts w:ascii="Sylfaen" w:hAnsi="Sylfaen"/>
          <w:b/>
          <w:sz w:val="20"/>
          <w:szCs w:val="20"/>
          <w:lang w:val="ka-GE"/>
        </w:rPr>
        <w:t>დიღმის მასივი 4 მიკრო N26</w:t>
      </w:r>
    </w:p>
    <w:p w14:paraId="4EA39B39" w14:textId="77777777" w:rsidR="00932BFF" w:rsidRDefault="00932BFF"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w:t>
      </w:r>
      <w:r w:rsidR="00B13E5A">
        <w:rPr>
          <w:rFonts w:ascii="Sylfaen" w:hAnsi="Sylfaen"/>
          <w:b/>
          <w:sz w:val="20"/>
          <w:szCs w:val="20"/>
          <w:lang w:val="ka-GE"/>
        </w:rPr>
        <w:t>#2</w:t>
      </w:r>
      <w:r w:rsidR="00436CBA">
        <w:rPr>
          <w:rFonts w:ascii="Sylfaen" w:hAnsi="Sylfaen"/>
          <w:b/>
          <w:sz w:val="20"/>
          <w:szCs w:val="20"/>
          <w:lang w:val="ka-GE"/>
        </w:rPr>
        <w:t xml:space="preserve"> </w:t>
      </w:r>
      <w:r w:rsidRPr="00932BFF">
        <w:rPr>
          <w:rFonts w:ascii="Sylfaen" w:hAnsi="Sylfaen"/>
          <w:b/>
          <w:sz w:val="20"/>
          <w:szCs w:val="20"/>
          <w:lang w:val="ka-GE"/>
        </w:rPr>
        <w:t>ტიბაანის ქუჩა N13</w:t>
      </w:r>
    </w:p>
    <w:p w14:paraId="4F61CB82" w14:textId="329BE878" w:rsidR="0058448B" w:rsidRDefault="00932BFF"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w:t>
      </w:r>
      <w:r w:rsidR="00B13E5A">
        <w:rPr>
          <w:rFonts w:ascii="Sylfaen" w:hAnsi="Sylfaen"/>
          <w:b/>
          <w:sz w:val="20"/>
          <w:szCs w:val="20"/>
          <w:lang w:val="ka-GE"/>
        </w:rPr>
        <w:t>#3</w:t>
      </w:r>
      <w:r w:rsidR="00436CBA">
        <w:rPr>
          <w:rFonts w:ascii="Sylfaen" w:hAnsi="Sylfaen"/>
          <w:b/>
          <w:sz w:val="20"/>
          <w:szCs w:val="20"/>
          <w:lang w:val="ka-GE"/>
        </w:rPr>
        <w:t xml:space="preserve"> </w:t>
      </w:r>
      <w:r w:rsidR="005A6777" w:rsidRPr="005A6777">
        <w:rPr>
          <w:rFonts w:ascii="Sylfaen" w:hAnsi="Sylfaen"/>
          <w:b/>
          <w:sz w:val="20"/>
          <w:szCs w:val="20"/>
          <w:lang w:val="ka-GE"/>
        </w:rPr>
        <w:t>ვარკეთილის 4 მიკრო</w:t>
      </w:r>
    </w:p>
    <w:p w14:paraId="77639FB5" w14:textId="2A5CBB8D" w:rsidR="005A6777" w:rsidRDefault="005A6777" w:rsidP="00007624">
      <w:pPr>
        <w:pStyle w:val="ListParagraph"/>
        <w:numPr>
          <w:ilvl w:val="0"/>
          <w:numId w:val="5"/>
        </w:numPr>
        <w:rPr>
          <w:rFonts w:ascii="Sylfaen" w:hAnsi="Sylfaen"/>
          <w:b/>
          <w:sz w:val="20"/>
          <w:szCs w:val="20"/>
          <w:lang w:val="ka-GE"/>
        </w:rPr>
      </w:pPr>
      <w:r>
        <w:rPr>
          <w:rFonts w:ascii="Sylfaen" w:hAnsi="Sylfaen"/>
          <w:b/>
          <w:sz w:val="20"/>
          <w:szCs w:val="20"/>
          <w:lang w:val="ka-GE"/>
        </w:rPr>
        <w:t>ობიექტი #</w:t>
      </w:r>
      <w:r>
        <w:rPr>
          <w:rFonts w:ascii="Sylfaen" w:hAnsi="Sylfaen"/>
          <w:b/>
          <w:sz w:val="20"/>
          <w:szCs w:val="20"/>
          <w:lang w:val="ka-GE"/>
        </w:rPr>
        <w:t xml:space="preserve">4 </w:t>
      </w:r>
      <w:r w:rsidRPr="005A6777">
        <w:rPr>
          <w:rFonts w:ascii="Sylfaen" w:hAnsi="Sylfaen"/>
          <w:b/>
          <w:sz w:val="20"/>
          <w:szCs w:val="20"/>
          <w:lang w:val="ka-GE"/>
        </w:rPr>
        <w:t xml:space="preserve">დიღმის მასივი 3 მიკრო. </w:t>
      </w:r>
    </w:p>
    <w:p w14:paraId="3D11B5CF" w14:textId="6016E079" w:rsidR="005A6777" w:rsidRDefault="004C102A" w:rsidP="00007624">
      <w:pPr>
        <w:pStyle w:val="ListParagraph"/>
        <w:numPr>
          <w:ilvl w:val="0"/>
          <w:numId w:val="5"/>
        </w:numPr>
        <w:rPr>
          <w:rFonts w:ascii="Sylfaen" w:hAnsi="Sylfaen"/>
          <w:b/>
          <w:sz w:val="20"/>
          <w:szCs w:val="20"/>
          <w:lang w:val="ka-GE"/>
        </w:rPr>
      </w:pPr>
      <w:r>
        <w:rPr>
          <w:rFonts w:ascii="Sylfaen" w:hAnsi="Sylfaen"/>
          <w:b/>
          <w:sz w:val="20"/>
          <w:szCs w:val="20"/>
          <w:lang w:val="ka-GE"/>
        </w:rPr>
        <w:t>ობიექტი #</w:t>
      </w:r>
      <w:r>
        <w:rPr>
          <w:rFonts w:ascii="Sylfaen" w:hAnsi="Sylfaen"/>
          <w:b/>
          <w:sz w:val="20"/>
          <w:szCs w:val="20"/>
          <w:lang w:val="ka-GE"/>
        </w:rPr>
        <w:t xml:space="preserve">5 </w:t>
      </w:r>
      <w:r w:rsidRPr="004C102A">
        <w:rPr>
          <w:rFonts w:ascii="Sylfaen" w:hAnsi="Sylfaen"/>
          <w:b/>
          <w:sz w:val="20"/>
          <w:szCs w:val="20"/>
          <w:lang w:val="ka-GE"/>
        </w:rPr>
        <w:t>გაბრიელ სალონის ქუჩა</w:t>
      </w:r>
    </w:p>
    <w:p w14:paraId="07A7C8E2" w14:textId="5121048F" w:rsidR="004C102A" w:rsidRPr="00EC701A" w:rsidRDefault="00A41F6A" w:rsidP="00007624">
      <w:pPr>
        <w:pStyle w:val="ListParagraph"/>
        <w:numPr>
          <w:ilvl w:val="0"/>
          <w:numId w:val="5"/>
        </w:numPr>
        <w:rPr>
          <w:rFonts w:ascii="Sylfaen" w:hAnsi="Sylfaen"/>
          <w:b/>
          <w:sz w:val="20"/>
          <w:szCs w:val="20"/>
          <w:lang w:val="ka-GE"/>
        </w:rPr>
      </w:pPr>
      <w:r>
        <w:rPr>
          <w:rFonts w:ascii="Sylfaen" w:hAnsi="Sylfaen"/>
          <w:b/>
          <w:sz w:val="20"/>
          <w:szCs w:val="20"/>
          <w:lang w:val="ka-GE"/>
        </w:rPr>
        <w:t>ობიექტი #</w:t>
      </w:r>
      <w:r>
        <w:rPr>
          <w:rFonts w:ascii="Sylfaen" w:hAnsi="Sylfaen"/>
          <w:b/>
          <w:sz w:val="20"/>
          <w:szCs w:val="20"/>
          <w:lang w:val="ka-GE"/>
        </w:rPr>
        <w:t xml:space="preserve">6 </w:t>
      </w:r>
      <w:r w:rsidRPr="00A41F6A">
        <w:rPr>
          <w:rFonts w:ascii="Sylfaen" w:hAnsi="Sylfaen"/>
          <w:b/>
          <w:sz w:val="20"/>
          <w:szCs w:val="20"/>
          <w:lang w:val="ka-GE"/>
        </w:rPr>
        <w:t xml:space="preserve">დიღმის მასივი , ევგენი მიქელაძე  N18 </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5B624B57" w14:textId="77777777" w:rsidR="002A48F7" w:rsidRDefault="002A48F7" w:rsidP="00B37271">
      <w:pPr>
        <w:spacing w:after="0"/>
        <w:jc w:val="both"/>
        <w:rPr>
          <w:rFonts w:ascii="Sylfaen" w:hAnsi="Sylfaen"/>
          <w:b/>
          <w:sz w:val="20"/>
          <w:szCs w:val="20"/>
          <w:lang w:val="ka-GE"/>
        </w:rPr>
      </w:pP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w:t>
      </w:r>
      <w:r w:rsidRPr="00B37271">
        <w:rPr>
          <w:rFonts w:ascii="Sylfaen" w:hAnsi="Sylfaen"/>
          <w:sz w:val="20"/>
          <w:szCs w:val="20"/>
          <w:lang w:val="ka-GE"/>
        </w:rPr>
        <w:lastRenderedPageBreak/>
        <w:t>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45CB2799"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5754BA">
        <w:rPr>
          <w:rFonts w:ascii="Sylfaen" w:hAnsi="Sylfaen" w:cs="Sylfaen"/>
          <w:b/>
          <w:sz w:val="20"/>
          <w:szCs w:val="20"/>
          <w:lang w:val="ka-GE"/>
        </w:rPr>
        <w:t>5</w:t>
      </w:r>
      <w:r w:rsidR="00030E04">
        <w:rPr>
          <w:rFonts w:ascii="Sylfaen" w:hAnsi="Sylfaen" w:cs="Sylfaen"/>
          <w:b/>
          <w:sz w:val="20"/>
          <w:szCs w:val="20"/>
          <w:lang w:val="ka-GE"/>
        </w:rPr>
        <w:t xml:space="preserve"> წლის </w:t>
      </w:r>
      <w:r w:rsidR="00C87705">
        <w:rPr>
          <w:rFonts w:ascii="Sylfaen" w:hAnsi="Sylfaen" w:cs="Sylfaen"/>
          <w:b/>
          <w:sz w:val="20"/>
          <w:szCs w:val="20"/>
          <w:lang w:val="ka-GE"/>
        </w:rPr>
        <w:t>10</w:t>
      </w:r>
      <w:r w:rsidR="00D61321">
        <w:rPr>
          <w:rFonts w:ascii="Sylfaen" w:hAnsi="Sylfaen" w:cs="Sylfaen"/>
          <w:b/>
          <w:sz w:val="20"/>
          <w:szCs w:val="20"/>
          <w:lang w:val="ka-GE"/>
        </w:rPr>
        <w:t xml:space="preserve"> </w:t>
      </w:r>
      <w:r w:rsidR="00C87705">
        <w:rPr>
          <w:rFonts w:ascii="Sylfaen" w:hAnsi="Sylfaen" w:cs="Sylfaen"/>
          <w:b/>
          <w:sz w:val="20"/>
          <w:szCs w:val="20"/>
          <w:lang w:val="ka-GE"/>
        </w:rPr>
        <w:t>დეკემბერი</w:t>
      </w:r>
      <w:r w:rsidRPr="0024589B">
        <w:rPr>
          <w:rFonts w:ascii="Sylfaen" w:hAnsi="Sylfaen" w:cs="Sylfaen"/>
          <w:b/>
          <w:sz w:val="20"/>
          <w:szCs w:val="20"/>
          <w:lang w:val="ka-GE"/>
        </w:rPr>
        <w:t>, 1</w:t>
      </w:r>
      <w:r w:rsidR="00E53196">
        <w:rPr>
          <w:rFonts w:ascii="Sylfaen" w:hAnsi="Sylfaen" w:cs="Sylfaen"/>
          <w:b/>
          <w:sz w:val="20"/>
          <w:szCs w:val="20"/>
          <w:lang w:val="ka-GE"/>
        </w:rPr>
        <w:t>2</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w:t>
      </w:r>
      <w:r w:rsidR="0071455F" w:rsidRPr="00EC701A">
        <w:rPr>
          <w:rFonts w:ascii="Sylfaen" w:hAnsi="Sylfaen" w:cs="Sylfaen"/>
          <w:sz w:val="20"/>
          <w:szCs w:val="20"/>
          <w:lang w:val="ka-GE"/>
        </w:rPr>
        <w:lastRenderedPageBreak/>
        <w:t>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1" w:history="1">
        <w:r w:rsidR="0024589B" w:rsidRPr="008466C9">
          <w:rPr>
            <w:rStyle w:val="Hyperlink"/>
            <w:rFonts w:ascii="Sylfaen" w:hAnsi="Sylfaen" w:cs="Sylfaen"/>
            <w:sz w:val="20"/>
            <w:szCs w:val="20"/>
          </w:rPr>
          <w:t>vtsiklauri@gwp.ge</w:t>
        </w:r>
      </w:hyperlink>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lastRenderedPageBreak/>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Pr="00EC701A">
          <w:rPr>
            <w:rStyle w:val="Hyperlink"/>
            <w:rFonts w:ascii="Sylfaen" w:hAnsi="Sylfaen"/>
            <w:sz w:val="20"/>
            <w:szCs w:val="20"/>
            <w:lang w:val="ka-GE"/>
          </w:rPr>
          <w:t>www.tenders.ge</w:t>
        </w:r>
      </w:hyperlink>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უფასოა, </w:t>
      </w:r>
      <w:r w:rsidRPr="00EC701A">
        <w:rPr>
          <w:rFonts w:ascii="Sylfaen" w:hAnsi="Sylfaen"/>
          <w:sz w:val="20"/>
          <w:szCs w:val="20"/>
        </w:rPr>
        <w:t xml:space="preserve">ტენდერში მონაწილეობის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5EE53BD7" w14:textId="77777777"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3"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60FFD1FC" w14:textId="77777777" w:rsidR="002D6C66" w:rsidRPr="00011C2B"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საკონტაქტო პირი: </w:t>
      </w:r>
      <w:r w:rsidR="00011C2B">
        <w:rPr>
          <w:rFonts w:ascii="Sylfaen" w:hAnsi="Sylfaen"/>
          <w:sz w:val="20"/>
          <w:szCs w:val="20"/>
          <w:lang w:val="ka-GE"/>
        </w:rPr>
        <w:t>მაგდა ლომთათიძე</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ელ. ფოსტა: </w:t>
      </w:r>
      <w:hyperlink r:id="rId14" w:history="1">
        <w:r w:rsidR="00011C2B" w:rsidRPr="00A44E4C">
          <w:rPr>
            <w:rStyle w:val="Hyperlink"/>
            <w:rFonts w:ascii="Sylfaen" w:hAnsi="Sylfaen"/>
            <w:sz w:val="20"/>
            <w:szCs w:val="20"/>
          </w:rPr>
          <w:t>mlomtatidze@gwp.ge</w:t>
        </w:r>
      </w:hyperlink>
      <w:r w:rsidR="0024589B">
        <w:rPr>
          <w:rFonts w:ascii="Sylfaen" w:hAnsi="Sylfaen"/>
          <w:sz w:val="20"/>
          <w:szCs w:val="20"/>
          <w:lang w:val="ka-GE"/>
        </w:rPr>
        <w:t xml:space="preserve"> </w:t>
      </w:r>
    </w:p>
    <w:p w14:paraId="1A8094D3"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ტელ.: +995 322 931111 (1</w:t>
      </w:r>
      <w:r w:rsidR="00011C2B">
        <w:rPr>
          <w:rFonts w:ascii="Sylfaen" w:hAnsi="Sylfaen"/>
          <w:sz w:val="20"/>
          <w:szCs w:val="20"/>
        </w:rPr>
        <w:t>303</w:t>
      </w:r>
      <w:r w:rsidRPr="00EC701A">
        <w:rPr>
          <w:rFonts w:ascii="Sylfaen" w:hAnsi="Sylfaen"/>
          <w:sz w:val="20"/>
          <w:szCs w:val="20"/>
          <w:lang w:val="ka-GE"/>
        </w:rPr>
        <w:t>);</w:t>
      </w:r>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5"/>
      <w:footerReference w:type="default" r:id="rId16"/>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E79B" w14:textId="77777777" w:rsidR="002675CD" w:rsidRDefault="002675CD" w:rsidP="007902EA">
      <w:pPr>
        <w:spacing w:after="0" w:line="240" w:lineRule="auto"/>
      </w:pPr>
      <w:r>
        <w:separator/>
      </w:r>
    </w:p>
  </w:endnote>
  <w:endnote w:type="continuationSeparator" w:id="0">
    <w:p w14:paraId="6E2B2F66" w14:textId="77777777" w:rsidR="002675CD" w:rsidRDefault="002675CD"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CA6A" w14:textId="77777777" w:rsidR="002675CD" w:rsidRDefault="002675CD" w:rsidP="007902EA">
      <w:pPr>
        <w:spacing w:after="0" w:line="240" w:lineRule="auto"/>
      </w:pPr>
      <w:r>
        <w:separator/>
      </w:r>
    </w:p>
  </w:footnote>
  <w:footnote w:type="continuationSeparator" w:id="0">
    <w:p w14:paraId="0EB60F84" w14:textId="77777777" w:rsidR="002675CD" w:rsidRDefault="002675CD"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3E84"/>
    <w:rsid w:val="002056E8"/>
    <w:rsid w:val="00207B93"/>
    <w:rsid w:val="00207CEA"/>
    <w:rsid w:val="00207D7D"/>
    <w:rsid w:val="0021119E"/>
    <w:rsid w:val="0021503D"/>
    <w:rsid w:val="00216B88"/>
    <w:rsid w:val="0022155A"/>
    <w:rsid w:val="002319CA"/>
    <w:rsid w:val="00237416"/>
    <w:rsid w:val="00241768"/>
    <w:rsid w:val="002422D6"/>
    <w:rsid w:val="0024589B"/>
    <w:rsid w:val="002468A9"/>
    <w:rsid w:val="00255EB0"/>
    <w:rsid w:val="0025658B"/>
    <w:rsid w:val="002568CE"/>
    <w:rsid w:val="00257F36"/>
    <w:rsid w:val="00260FED"/>
    <w:rsid w:val="00266CA0"/>
    <w:rsid w:val="002675CD"/>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0CFD"/>
    <w:rsid w:val="0033101C"/>
    <w:rsid w:val="0033397E"/>
    <w:rsid w:val="00333F2F"/>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22939"/>
    <w:rsid w:val="008246F4"/>
    <w:rsid w:val="00824EDA"/>
    <w:rsid w:val="00833770"/>
    <w:rsid w:val="0083614B"/>
    <w:rsid w:val="008374C0"/>
    <w:rsid w:val="008401B6"/>
    <w:rsid w:val="00840F4D"/>
    <w:rsid w:val="008421EC"/>
    <w:rsid w:val="008473E6"/>
    <w:rsid w:val="0085218E"/>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4104"/>
    <w:rsid w:val="00BE0965"/>
    <w:rsid w:val="00BE187B"/>
    <w:rsid w:val="00BE1A34"/>
    <w:rsid w:val="00BE3060"/>
    <w:rsid w:val="00BE4678"/>
    <w:rsid w:val="00BF5EFE"/>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3196"/>
    <w:rsid w:val="00E5367B"/>
    <w:rsid w:val="00E54795"/>
    <w:rsid w:val="00E56AB9"/>
    <w:rsid w:val="00E57F10"/>
    <w:rsid w:val="00E6136A"/>
    <w:rsid w:val="00E6248F"/>
    <w:rsid w:val="00E648D1"/>
    <w:rsid w:val="00E65074"/>
    <w:rsid w:val="00E6523B"/>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41A9"/>
    <w:rsid w:val="00FA55D9"/>
    <w:rsid w:val="00FA55F2"/>
    <w:rsid w:val="00FA6D8B"/>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tsiklauri@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lomtat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1094</Words>
  <Characters>8956</Characters>
  <Application>Microsoft Office Word</Application>
  <DocSecurity>0</DocSecurity>
  <Lines>194</Lines>
  <Paragraphs>85</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37</cp:revision>
  <cp:lastPrinted>2015-07-27T06:36:00Z</cp:lastPrinted>
  <dcterms:created xsi:type="dcterms:W3CDTF">2024-11-07T11:23:00Z</dcterms:created>
  <dcterms:modified xsi:type="dcterms:W3CDTF">2025-12-04T13:57:00Z</dcterms:modified>
</cp:coreProperties>
</file>