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0ED" w:rsidRDefault="009F00ED" w:rsidP="009F00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ka-GE"/>
        </w:rPr>
        <w:t>რკინიგზის ჩიხის მომსახურეობის ტექნიკური დავალება:</w:t>
      </w:r>
      <w:r>
        <w:rPr>
          <w:rStyle w:val="eop"/>
          <w:rFonts w:ascii="Calibri" w:hAnsi="Calibri" w:cs="Calibri"/>
          <w:sz w:val="22"/>
          <w:szCs w:val="22"/>
        </w:rPr>
        <w:t> </w:t>
      </w:r>
    </w:p>
    <w:p w:rsidR="009F00ED" w:rsidRDefault="009F00ED" w:rsidP="009F00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F00ED" w:rsidRDefault="009F00ED" w:rsidP="009F00ED">
      <w:pPr>
        <w:pStyle w:val="paragraph"/>
        <w:numPr>
          <w:ilvl w:val="0"/>
          <w:numId w:val="1"/>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rPr>
        <w:t>რკინიგზის ჩიხი უნდა იყოს უზრუნველყოფილი 20-24 ან მეტი ა/მ (თვითმცლელის ტიპი) მომსახურების ფრონტით (10-12 რკინიგზის ვაგონი).  </w:t>
      </w:r>
      <w:r>
        <w:rPr>
          <w:rStyle w:val="eop"/>
          <w:rFonts w:ascii="Calibri" w:hAnsi="Calibri" w:cs="Calibri"/>
          <w:sz w:val="22"/>
          <w:szCs w:val="22"/>
        </w:rPr>
        <w:t> </w:t>
      </w:r>
    </w:p>
    <w:p w:rsidR="009F00ED" w:rsidRDefault="009F00ED" w:rsidP="009F00ED">
      <w:pPr>
        <w:pStyle w:val="paragraph"/>
        <w:numPr>
          <w:ilvl w:val="0"/>
          <w:numId w:val="2"/>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 ჩიხს უნდა ჰქონდეს მოქმედი რკინიგზაზე დარეგისტრებული</w:t>
      </w:r>
      <w:r>
        <w:rPr>
          <w:rStyle w:val="normaltextrun"/>
          <w:rFonts w:ascii="Calibri" w:hAnsi="Calibri" w:cs="Calibri"/>
          <w:sz w:val="22"/>
          <w:szCs w:val="22"/>
        </w:rPr>
        <w:t> </w:t>
      </w:r>
      <w:r>
        <w:rPr>
          <w:rStyle w:val="normaltextrun"/>
          <w:rFonts w:ascii="Calibri" w:hAnsi="Calibri" w:cs="Calibri"/>
          <w:sz w:val="22"/>
          <w:szCs w:val="22"/>
          <w:lang w:val="ka-GE"/>
        </w:rPr>
        <w:t>ჩიხის კოდი.</w:t>
      </w:r>
      <w:r>
        <w:rPr>
          <w:rStyle w:val="eop"/>
          <w:rFonts w:ascii="Calibri" w:hAnsi="Calibri" w:cs="Calibri"/>
          <w:sz w:val="22"/>
          <w:szCs w:val="22"/>
        </w:rPr>
        <w:t> </w:t>
      </w:r>
    </w:p>
    <w:p w:rsidR="009F00ED" w:rsidRDefault="009F00ED" w:rsidP="009F00ED">
      <w:pPr>
        <w:pStyle w:val="paragraph"/>
        <w:numPr>
          <w:ilvl w:val="0"/>
          <w:numId w:val="3"/>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თვითმცლელი ა/მ მინიმალური სიგრძე 7,5 მ</w:t>
      </w:r>
      <w:r>
        <w:rPr>
          <w:rStyle w:val="eop"/>
          <w:rFonts w:ascii="Calibri" w:hAnsi="Calibri" w:cs="Calibri"/>
          <w:sz w:val="22"/>
          <w:szCs w:val="22"/>
        </w:rPr>
        <w:t> </w:t>
      </w:r>
    </w:p>
    <w:p w:rsidR="009F00ED" w:rsidRDefault="009F00ED" w:rsidP="009F00ED">
      <w:pPr>
        <w:pStyle w:val="paragraph"/>
        <w:numPr>
          <w:ilvl w:val="0"/>
          <w:numId w:val="4"/>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ბეტონის ბაქანის სასურველი პარამეტრებია- სიგრძე 200 მ, სიგანე 20-25 მ</w:t>
      </w:r>
      <w:r>
        <w:rPr>
          <w:rStyle w:val="eop"/>
          <w:rFonts w:ascii="Calibri" w:hAnsi="Calibri" w:cs="Calibri"/>
          <w:sz w:val="22"/>
          <w:szCs w:val="22"/>
        </w:rPr>
        <w:t> </w:t>
      </w:r>
    </w:p>
    <w:p w:rsidR="009F00ED" w:rsidRDefault="009F00ED" w:rsidP="009F00ED">
      <w:pPr>
        <w:pStyle w:val="paragraph"/>
        <w:numPr>
          <w:ilvl w:val="0"/>
          <w:numId w:val="5"/>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ჩიხის ლიანდაგი უნდა იყოს საკვანძო სადგურთან მიერთებული. </w:t>
      </w:r>
      <w:r>
        <w:rPr>
          <w:rStyle w:val="eop"/>
          <w:rFonts w:ascii="Calibri" w:hAnsi="Calibri" w:cs="Calibri"/>
          <w:sz w:val="22"/>
          <w:szCs w:val="22"/>
        </w:rPr>
        <w:t> </w:t>
      </w:r>
    </w:p>
    <w:p w:rsidR="009F00ED" w:rsidRDefault="009F00ED" w:rsidP="009F00ED">
      <w:pPr>
        <w:pStyle w:val="paragraph"/>
        <w:numPr>
          <w:ilvl w:val="0"/>
          <w:numId w:val="6"/>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სასურველია არემჯის თანამშრომლებისთვის საოფისე ფართით უზრუნველყოფა, შესაბამისი ყველა კომუნიკაციით და საოფისე ინვენტართ ( პრინტერი, სკანერი, ინტერნეტი და სხვ.)</w:t>
      </w:r>
      <w:r>
        <w:rPr>
          <w:rStyle w:val="eop"/>
          <w:rFonts w:ascii="Calibri" w:hAnsi="Calibri" w:cs="Calibri"/>
          <w:sz w:val="22"/>
          <w:szCs w:val="22"/>
        </w:rPr>
        <w:t> </w:t>
      </w:r>
    </w:p>
    <w:p w:rsidR="009F00ED" w:rsidRDefault="009F00ED" w:rsidP="009F00ED">
      <w:pPr>
        <w:pStyle w:val="paragraph"/>
        <w:numPr>
          <w:ilvl w:val="0"/>
          <w:numId w:val="7"/>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ტერიტორია უნდა იყოს სათანადოდ დაცული და შემოღობილი ღობით. სამუშაო ადგილი სათანადოდ განათებული და აღჭურვილი ვიდეო კამერებით.</w:t>
      </w:r>
      <w:r>
        <w:rPr>
          <w:rStyle w:val="eop"/>
          <w:rFonts w:ascii="Calibri" w:hAnsi="Calibri" w:cs="Calibri"/>
          <w:sz w:val="22"/>
          <w:szCs w:val="22"/>
        </w:rPr>
        <w:t> </w:t>
      </w:r>
    </w:p>
    <w:p w:rsidR="009F00ED" w:rsidRDefault="009F00ED" w:rsidP="009F00ED">
      <w:pPr>
        <w:pStyle w:val="paragraph"/>
        <w:numPr>
          <w:ilvl w:val="0"/>
          <w:numId w:val="8"/>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კონცენტრატის დასაწყობებლად საჭიროა მინიმუმ</w:t>
      </w:r>
      <w:r>
        <w:rPr>
          <w:rStyle w:val="normaltextrun"/>
          <w:rFonts w:ascii="Calibri" w:hAnsi="Calibri" w:cs="Calibri"/>
          <w:sz w:val="22"/>
          <w:szCs w:val="22"/>
        </w:rPr>
        <w:t> 1000 </w:t>
      </w:r>
      <w:r>
        <w:rPr>
          <w:rStyle w:val="normaltextrun"/>
          <w:rFonts w:ascii="Calibri" w:hAnsi="Calibri" w:cs="Calibri"/>
          <w:sz w:val="22"/>
          <w:szCs w:val="22"/>
          <w:lang w:val="ka-GE"/>
        </w:rPr>
        <w:t>მ</w:t>
      </w:r>
      <w:r>
        <w:rPr>
          <w:rStyle w:val="normaltextrun"/>
          <w:rFonts w:ascii="Calibri" w:hAnsi="Calibri" w:cs="Calibri"/>
          <w:sz w:val="22"/>
          <w:szCs w:val="22"/>
        </w:rPr>
        <w:t>2 </w:t>
      </w:r>
      <w:r>
        <w:rPr>
          <w:rStyle w:val="normaltextrun"/>
          <w:rFonts w:ascii="Calibri" w:hAnsi="Calibri" w:cs="Calibri"/>
          <w:sz w:val="22"/>
          <w:szCs w:val="22"/>
          <w:lang w:val="ka-GE"/>
        </w:rPr>
        <w:t>(ეკვივალენტი-  3000 ტ ტვირთის შესანახი ტერიტორია, გაზრდის პერსპეკტივით) . კონცენტრატი ლაგდება ლოტებად 3 სართულად (ერთი ლოტი საშუალოდ 100 ბიგ ბეგი და იკავებს 50 მ2). ლოტების არევა ერთმანეთსი აკრძალულია, ლოტები ერთმანეთტან უნდა იყოს მოშორებული ან სეპარირებული. კონცენტრატი უნდა ლაგდებოდეს პალეტებზე ან სხვა სეპარაციაზე რომ იყოს მოშორებული ნიადაგიდან, ზევიდან კონცენტრატი უნდა იფარებოდეს ტენტით. </w:t>
      </w:r>
      <w:r>
        <w:rPr>
          <w:rStyle w:val="eop"/>
          <w:rFonts w:ascii="Calibri" w:hAnsi="Calibri" w:cs="Calibri"/>
          <w:sz w:val="22"/>
          <w:szCs w:val="22"/>
        </w:rPr>
        <w:t> </w:t>
      </w:r>
    </w:p>
    <w:p w:rsidR="009F00ED" w:rsidRDefault="009F00ED" w:rsidP="009F00ED">
      <w:pPr>
        <w:pStyle w:val="paragraph"/>
        <w:numPr>
          <w:ilvl w:val="0"/>
          <w:numId w:val="9"/>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24 საათიანი მომსახურეობა (ა/მ და რკინიგზის ვაგონების მიღება, გადატვირთვა, დაცლა, შენახვა)</w:t>
      </w:r>
      <w:r>
        <w:rPr>
          <w:rStyle w:val="eop"/>
          <w:rFonts w:ascii="Calibri" w:hAnsi="Calibri" w:cs="Calibri"/>
          <w:sz w:val="22"/>
          <w:szCs w:val="22"/>
        </w:rPr>
        <w:t> </w:t>
      </w:r>
    </w:p>
    <w:p w:rsidR="009F00ED" w:rsidRDefault="009F00ED" w:rsidP="009F00ED">
      <w:pPr>
        <w:pStyle w:val="paragraph"/>
        <w:numPr>
          <w:ilvl w:val="0"/>
          <w:numId w:val="10"/>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რკინიგზის ჩიხი უზრუნველყოფილი უნდა იყოს ყველა საჭირო და ტექნიკირად გამართული ტექნიკით ( ამწე კრანი, მტვირთავი და სხვ.) და მომსახურე პერსონალით , რათა მოხდეს ყველა ზემოთ ხსენებული სერვისის მიწოდება.  ამწე კრანის მინიმალური პარამეტრები: ტვირთამწეობა 15 ტ, გასაშლელი მკლავი 20 მ).</w:t>
      </w:r>
      <w:r>
        <w:rPr>
          <w:rStyle w:val="eop"/>
          <w:rFonts w:ascii="Calibri" w:hAnsi="Calibri" w:cs="Calibri"/>
          <w:sz w:val="22"/>
          <w:szCs w:val="22"/>
        </w:rPr>
        <w:t> </w:t>
      </w:r>
    </w:p>
    <w:p w:rsidR="009F00ED" w:rsidRDefault="009F00ED" w:rsidP="009F00ED">
      <w:pPr>
        <w:pStyle w:val="paragraph"/>
        <w:numPr>
          <w:ilvl w:val="0"/>
          <w:numId w:val="11"/>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სხვა პროცესები არ უნდა მიმდინარეობდეს კონკრეტულ ტერიტორიაზე.</w:t>
      </w:r>
      <w:r>
        <w:rPr>
          <w:rStyle w:val="eop"/>
          <w:rFonts w:ascii="Calibri" w:hAnsi="Calibri" w:cs="Calibri"/>
          <w:sz w:val="22"/>
          <w:szCs w:val="22"/>
        </w:rPr>
        <w:t> </w:t>
      </w:r>
    </w:p>
    <w:p w:rsidR="009F00ED" w:rsidRDefault="009F00ED" w:rsidP="009F00ED">
      <w:pPr>
        <w:pStyle w:val="paragraph"/>
        <w:numPr>
          <w:ilvl w:val="0"/>
          <w:numId w:val="12"/>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ტვირთის დატვირთვა არ უნდა ხდებოდეს წვიმიანი ამინდში და ყველა პროცეს უნდა იმართებოდეს მათ შორის რკინიგზის დატვირთვა  ერემჯის თანამშომლების კონტროლის ქვეშ (რკინიგზის წესების მიხედვით, შრომის უსაფრთხოების  და სხვა წესების მიხედვით).</w:t>
      </w:r>
      <w:r>
        <w:rPr>
          <w:rStyle w:val="eop"/>
          <w:rFonts w:ascii="Calibri" w:hAnsi="Calibri" w:cs="Calibri"/>
          <w:sz w:val="22"/>
          <w:szCs w:val="22"/>
        </w:rPr>
        <w:t> </w:t>
      </w:r>
    </w:p>
    <w:p w:rsidR="009F00ED" w:rsidRDefault="009F00ED" w:rsidP="009F00ED">
      <w:pPr>
        <w:pStyle w:val="paragraph"/>
        <w:numPr>
          <w:ilvl w:val="0"/>
          <w:numId w:val="13"/>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ა/მ, და რკინიგზის ვაგონების ტერიტორიაზე დაშვება</w:t>
      </w:r>
      <w:r>
        <w:rPr>
          <w:rStyle w:val="normaltextrun"/>
          <w:rFonts w:ascii="Calibri" w:hAnsi="Calibri" w:cs="Calibri"/>
          <w:sz w:val="22"/>
          <w:szCs w:val="22"/>
        </w:rPr>
        <w:t>- 24 </w:t>
      </w:r>
      <w:r>
        <w:rPr>
          <w:rStyle w:val="normaltextrun"/>
          <w:rFonts w:ascii="Calibri" w:hAnsi="Calibri" w:cs="Calibri"/>
          <w:sz w:val="22"/>
          <w:szCs w:val="22"/>
          <w:lang w:val="ka-GE"/>
        </w:rPr>
        <w:t>საათიან რეჟიმში</w:t>
      </w:r>
      <w:r>
        <w:rPr>
          <w:rStyle w:val="eop"/>
          <w:rFonts w:ascii="Calibri" w:hAnsi="Calibri" w:cs="Calibri"/>
          <w:sz w:val="22"/>
          <w:szCs w:val="22"/>
        </w:rPr>
        <w:t> </w:t>
      </w:r>
    </w:p>
    <w:p w:rsidR="009F00ED" w:rsidRDefault="009F00ED" w:rsidP="009F00ED">
      <w:pPr>
        <w:pStyle w:val="paragraph"/>
        <w:numPr>
          <w:ilvl w:val="0"/>
          <w:numId w:val="14"/>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ბიგ ბეგებზე არსებული ერთჯერადი ლუქების შემოწმება(დამკვეთის  პასუხისმგებლობით და ზედამხედველობით),</w:t>
      </w:r>
      <w:r>
        <w:rPr>
          <w:rStyle w:val="eop"/>
          <w:rFonts w:ascii="Calibri" w:hAnsi="Calibri" w:cs="Calibri"/>
          <w:sz w:val="22"/>
          <w:szCs w:val="22"/>
        </w:rPr>
        <w:t> </w:t>
      </w:r>
    </w:p>
    <w:p w:rsidR="009F00ED" w:rsidRDefault="009F00ED" w:rsidP="009F00ED">
      <w:pPr>
        <w:pStyle w:val="paragraph"/>
        <w:numPr>
          <w:ilvl w:val="0"/>
          <w:numId w:val="15"/>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ბიგ ბეგების დასაწყობება ლოტების მიხედვით დამკვეთის ზედამხედველობის ქვეშ,ან პირდაპირ დატვირთვა ვაგონში( დამკვეთის ზედამხედველობის ქვეშ)</w:t>
      </w:r>
      <w:r>
        <w:rPr>
          <w:rStyle w:val="eop"/>
          <w:rFonts w:ascii="Calibri" w:hAnsi="Calibri" w:cs="Calibri"/>
          <w:sz w:val="22"/>
          <w:szCs w:val="22"/>
        </w:rPr>
        <w:t> </w:t>
      </w:r>
    </w:p>
    <w:p w:rsidR="009F00ED" w:rsidRDefault="009F00ED" w:rsidP="009F00ED">
      <w:pPr>
        <w:pStyle w:val="paragraph"/>
        <w:numPr>
          <w:ilvl w:val="0"/>
          <w:numId w:val="16"/>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ბაქნიდან ბიგ ბეგების  ვაგონებში დატვირთვა ლოტების მიხედვით დამკვეთის ინსტრუქციის მიხედვით</w:t>
      </w:r>
      <w:r>
        <w:rPr>
          <w:rStyle w:val="eop"/>
          <w:rFonts w:ascii="Calibri" w:hAnsi="Calibri" w:cs="Calibri"/>
          <w:sz w:val="22"/>
          <w:szCs w:val="22"/>
        </w:rPr>
        <w:t> </w:t>
      </w:r>
    </w:p>
    <w:p w:rsidR="009F00ED" w:rsidRDefault="009F00ED" w:rsidP="009F00ED">
      <w:pPr>
        <w:pStyle w:val="paragraph"/>
        <w:numPr>
          <w:ilvl w:val="0"/>
          <w:numId w:val="17"/>
        </w:numPr>
        <w:spacing w:before="0" w:beforeAutospacing="0" w:after="0" w:afterAutospacing="0"/>
        <w:ind w:left="270" w:firstLine="0"/>
        <w:textAlignment w:val="baseline"/>
        <w:rPr>
          <w:rFonts w:ascii="Calibri" w:hAnsi="Calibri" w:cs="Calibri"/>
          <w:sz w:val="22"/>
          <w:szCs w:val="22"/>
        </w:rPr>
      </w:pPr>
      <w:r>
        <w:rPr>
          <w:rStyle w:val="normaltextrun"/>
          <w:rFonts w:ascii="Calibri" w:hAnsi="Calibri" w:cs="Calibri"/>
          <w:sz w:val="22"/>
          <w:szCs w:val="22"/>
          <w:lang w:val="ka-GE"/>
        </w:rPr>
        <w:t>ვაგონების საჭირო რაოდენობა იქბება უზრუნველყოფილი დამკვეთის მიერ.</w:t>
      </w:r>
      <w:r>
        <w:rPr>
          <w:rStyle w:val="eop"/>
          <w:rFonts w:ascii="Calibri" w:hAnsi="Calibri" w:cs="Calibri"/>
          <w:sz w:val="22"/>
          <w:szCs w:val="22"/>
        </w:rPr>
        <w:t> </w:t>
      </w:r>
    </w:p>
    <w:p w:rsidR="00796734" w:rsidRDefault="00796734">
      <w:bookmarkStart w:id="0" w:name="_GoBack"/>
      <w:bookmarkEnd w:id="0"/>
    </w:p>
    <w:sectPr w:rsidR="00796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2F3"/>
    <w:multiLevelType w:val="multilevel"/>
    <w:tmpl w:val="D9E6FC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452F9"/>
    <w:multiLevelType w:val="multilevel"/>
    <w:tmpl w:val="C0B8E8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B0FE2"/>
    <w:multiLevelType w:val="multilevel"/>
    <w:tmpl w:val="167841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20FB5"/>
    <w:multiLevelType w:val="multilevel"/>
    <w:tmpl w:val="A182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16ED5"/>
    <w:multiLevelType w:val="multilevel"/>
    <w:tmpl w:val="4E244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00418"/>
    <w:multiLevelType w:val="multilevel"/>
    <w:tmpl w:val="6E7E6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B58DA"/>
    <w:multiLevelType w:val="multilevel"/>
    <w:tmpl w:val="DE4CA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323BC"/>
    <w:multiLevelType w:val="multilevel"/>
    <w:tmpl w:val="36409E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66B27"/>
    <w:multiLevelType w:val="multilevel"/>
    <w:tmpl w:val="185CCC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C32488"/>
    <w:multiLevelType w:val="multilevel"/>
    <w:tmpl w:val="5FCC7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602D7"/>
    <w:multiLevelType w:val="multilevel"/>
    <w:tmpl w:val="258E2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526BB"/>
    <w:multiLevelType w:val="multilevel"/>
    <w:tmpl w:val="FF0C1E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F53A8B"/>
    <w:multiLevelType w:val="multilevel"/>
    <w:tmpl w:val="6BFE9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057F9A"/>
    <w:multiLevelType w:val="multilevel"/>
    <w:tmpl w:val="F69C5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832C2"/>
    <w:multiLevelType w:val="multilevel"/>
    <w:tmpl w:val="182815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1E1753"/>
    <w:multiLevelType w:val="multilevel"/>
    <w:tmpl w:val="0A48C0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17BE4"/>
    <w:multiLevelType w:val="multilevel"/>
    <w:tmpl w:val="7A6619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6"/>
  </w:num>
  <w:num w:numId="4">
    <w:abstractNumId w:val="9"/>
  </w:num>
  <w:num w:numId="5">
    <w:abstractNumId w:val="5"/>
  </w:num>
  <w:num w:numId="6">
    <w:abstractNumId w:val="4"/>
  </w:num>
  <w:num w:numId="7">
    <w:abstractNumId w:val="14"/>
  </w:num>
  <w:num w:numId="8">
    <w:abstractNumId w:val="15"/>
  </w:num>
  <w:num w:numId="9">
    <w:abstractNumId w:val="8"/>
  </w:num>
  <w:num w:numId="10">
    <w:abstractNumId w:val="7"/>
  </w:num>
  <w:num w:numId="11">
    <w:abstractNumId w:val="1"/>
  </w:num>
  <w:num w:numId="12">
    <w:abstractNumId w:val="10"/>
  </w:num>
  <w:num w:numId="13">
    <w:abstractNumId w:val="13"/>
  </w:num>
  <w:num w:numId="14">
    <w:abstractNumId w:val="16"/>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ED"/>
    <w:rsid w:val="00796734"/>
    <w:rsid w:val="009F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6EAA3-8482-4F3D-BDED-B25E5C2E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0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00ED"/>
  </w:style>
  <w:style w:type="character" w:customStyle="1" w:styleId="eop">
    <w:name w:val="eop"/>
    <w:basedOn w:val="DefaultParagraphFont"/>
    <w:rsid w:val="009F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725647">
      <w:bodyDiv w:val="1"/>
      <w:marLeft w:val="0"/>
      <w:marRight w:val="0"/>
      <w:marTop w:val="0"/>
      <w:marBottom w:val="0"/>
      <w:divBdr>
        <w:top w:val="none" w:sz="0" w:space="0" w:color="auto"/>
        <w:left w:val="none" w:sz="0" w:space="0" w:color="auto"/>
        <w:bottom w:val="none" w:sz="0" w:space="0" w:color="auto"/>
        <w:right w:val="none" w:sz="0" w:space="0" w:color="auto"/>
      </w:divBdr>
      <w:divsChild>
        <w:div w:id="499925577">
          <w:marLeft w:val="0"/>
          <w:marRight w:val="0"/>
          <w:marTop w:val="0"/>
          <w:marBottom w:val="0"/>
          <w:divBdr>
            <w:top w:val="none" w:sz="0" w:space="0" w:color="auto"/>
            <w:left w:val="none" w:sz="0" w:space="0" w:color="auto"/>
            <w:bottom w:val="none" w:sz="0" w:space="0" w:color="auto"/>
            <w:right w:val="none" w:sz="0" w:space="0" w:color="auto"/>
          </w:divBdr>
        </w:div>
        <w:div w:id="388461297">
          <w:marLeft w:val="0"/>
          <w:marRight w:val="0"/>
          <w:marTop w:val="0"/>
          <w:marBottom w:val="0"/>
          <w:divBdr>
            <w:top w:val="none" w:sz="0" w:space="0" w:color="auto"/>
            <w:left w:val="none" w:sz="0" w:space="0" w:color="auto"/>
            <w:bottom w:val="none" w:sz="0" w:space="0" w:color="auto"/>
            <w:right w:val="none" w:sz="0" w:space="0" w:color="auto"/>
          </w:divBdr>
        </w:div>
        <w:div w:id="1698582009">
          <w:marLeft w:val="0"/>
          <w:marRight w:val="0"/>
          <w:marTop w:val="0"/>
          <w:marBottom w:val="0"/>
          <w:divBdr>
            <w:top w:val="none" w:sz="0" w:space="0" w:color="auto"/>
            <w:left w:val="none" w:sz="0" w:space="0" w:color="auto"/>
            <w:bottom w:val="none" w:sz="0" w:space="0" w:color="auto"/>
            <w:right w:val="none" w:sz="0" w:space="0" w:color="auto"/>
          </w:divBdr>
        </w:div>
        <w:div w:id="1148597156">
          <w:marLeft w:val="0"/>
          <w:marRight w:val="0"/>
          <w:marTop w:val="0"/>
          <w:marBottom w:val="0"/>
          <w:divBdr>
            <w:top w:val="none" w:sz="0" w:space="0" w:color="auto"/>
            <w:left w:val="none" w:sz="0" w:space="0" w:color="auto"/>
            <w:bottom w:val="none" w:sz="0" w:space="0" w:color="auto"/>
            <w:right w:val="none" w:sz="0" w:space="0" w:color="auto"/>
          </w:divBdr>
        </w:div>
        <w:div w:id="1718120801">
          <w:marLeft w:val="0"/>
          <w:marRight w:val="0"/>
          <w:marTop w:val="0"/>
          <w:marBottom w:val="0"/>
          <w:divBdr>
            <w:top w:val="none" w:sz="0" w:space="0" w:color="auto"/>
            <w:left w:val="none" w:sz="0" w:space="0" w:color="auto"/>
            <w:bottom w:val="none" w:sz="0" w:space="0" w:color="auto"/>
            <w:right w:val="none" w:sz="0" w:space="0" w:color="auto"/>
          </w:divBdr>
        </w:div>
        <w:div w:id="1663240971">
          <w:marLeft w:val="0"/>
          <w:marRight w:val="0"/>
          <w:marTop w:val="0"/>
          <w:marBottom w:val="0"/>
          <w:divBdr>
            <w:top w:val="none" w:sz="0" w:space="0" w:color="auto"/>
            <w:left w:val="none" w:sz="0" w:space="0" w:color="auto"/>
            <w:bottom w:val="none" w:sz="0" w:space="0" w:color="auto"/>
            <w:right w:val="none" w:sz="0" w:space="0" w:color="auto"/>
          </w:divBdr>
        </w:div>
        <w:div w:id="1820993336">
          <w:marLeft w:val="0"/>
          <w:marRight w:val="0"/>
          <w:marTop w:val="0"/>
          <w:marBottom w:val="0"/>
          <w:divBdr>
            <w:top w:val="none" w:sz="0" w:space="0" w:color="auto"/>
            <w:left w:val="none" w:sz="0" w:space="0" w:color="auto"/>
            <w:bottom w:val="none" w:sz="0" w:space="0" w:color="auto"/>
            <w:right w:val="none" w:sz="0" w:space="0" w:color="auto"/>
          </w:divBdr>
        </w:div>
        <w:div w:id="1916668054">
          <w:marLeft w:val="0"/>
          <w:marRight w:val="0"/>
          <w:marTop w:val="0"/>
          <w:marBottom w:val="0"/>
          <w:divBdr>
            <w:top w:val="none" w:sz="0" w:space="0" w:color="auto"/>
            <w:left w:val="none" w:sz="0" w:space="0" w:color="auto"/>
            <w:bottom w:val="none" w:sz="0" w:space="0" w:color="auto"/>
            <w:right w:val="none" w:sz="0" w:space="0" w:color="auto"/>
          </w:divBdr>
        </w:div>
        <w:div w:id="1599413507">
          <w:marLeft w:val="0"/>
          <w:marRight w:val="0"/>
          <w:marTop w:val="0"/>
          <w:marBottom w:val="0"/>
          <w:divBdr>
            <w:top w:val="none" w:sz="0" w:space="0" w:color="auto"/>
            <w:left w:val="none" w:sz="0" w:space="0" w:color="auto"/>
            <w:bottom w:val="none" w:sz="0" w:space="0" w:color="auto"/>
            <w:right w:val="none" w:sz="0" w:space="0" w:color="auto"/>
          </w:divBdr>
        </w:div>
        <w:div w:id="443841049">
          <w:marLeft w:val="0"/>
          <w:marRight w:val="0"/>
          <w:marTop w:val="0"/>
          <w:marBottom w:val="0"/>
          <w:divBdr>
            <w:top w:val="none" w:sz="0" w:space="0" w:color="auto"/>
            <w:left w:val="none" w:sz="0" w:space="0" w:color="auto"/>
            <w:bottom w:val="none" w:sz="0" w:space="0" w:color="auto"/>
            <w:right w:val="none" w:sz="0" w:space="0" w:color="auto"/>
          </w:divBdr>
        </w:div>
        <w:div w:id="864900848">
          <w:marLeft w:val="0"/>
          <w:marRight w:val="0"/>
          <w:marTop w:val="0"/>
          <w:marBottom w:val="0"/>
          <w:divBdr>
            <w:top w:val="none" w:sz="0" w:space="0" w:color="auto"/>
            <w:left w:val="none" w:sz="0" w:space="0" w:color="auto"/>
            <w:bottom w:val="none" w:sz="0" w:space="0" w:color="auto"/>
            <w:right w:val="none" w:sz="0" w:space="0" w:color="auto"/>
          </w:divBdr>
        </w:div>
        <w:div w:id="962005570">
          <w:marLeft w:val="0"/>
          <w:marRight w:val="0"/>
          <w:marTop w:val="0"/>
          <w:marBottom w:val="0"/>
          <w:divBdr>
            <w:top w:val="none" w:sz="0" w:space="0" w:color="auto"/>
            <w:left w:val="none" w:sz="0" w:space="0" w:color="auto"/>
            <w:bottom w:val="none" w:sz="0" w:space="0" w:color="auto"/>
            <w:right w:val="none" w:sz="0" w:space="0" w:color="auto"/>
          </w:divBdr>
        </w:div>
        <w:div w:id="989211196">
          <w:marLeft w:val="0"/>
          <w:marRight w:val="0"/>
          <w:marTop w:val="0"/>
          <w:marBottom w:val="0"/>
          <w:divBdr>
            <w:top w:val="none" w:sz="0" w:space="0" w:color="auto"/>
            <w:left w:val="none" w:sz="0" w:space="0" w:color="auto"/>
            <w:bottom w:val="none" w:sz="0" w:space="0" w:color="auto"/>
            <w:right w:val="none" w:sz="0" w:space="0" w:color="auto"/>
          </w:divBdr>
        </w:div>
        <w:div w:id="2063090505">
          <w:marLeft w:val="0"/>
          <w:marRight w:val="0"/>
          <w:marTop w:val="0"/>
          <w:marBottom w:val="0"/>
          <w:divBdr>
            <w:top w:val="none" w:sz="0" w:space="0" w:color="auto"/>
            <w:left w:val="none" w:sz="0" w:space="0" w:color="auto"/>
            <w:bottom w:val="none" w:sz="0" w:space="0" w:color="auto"/>
            <w:right w:val="none" w:sz="0" w:space="0" w:color="auto"/>
          </w:divBdr>
        </w:div>
        <w:div w:id="1783835938">
          <w:marLeft w:val="0"/>
          <w:marRight w:val="0"/>
          <w:marTop w:val="0"/>
          <w:marBottom w:val="0"/>
          <w:divBdr>
            <w:top w:val="none" w:sz="0" w:space="0" w:color="auto"/>
            <w:left w:val="none" w:sz="0" w:space="0" w:color="auto"/>
            <w:bottom w:val="none" w:sz="0" w:space="0" w:color="auto"/>
            <w:right w:val="none" w:sz="0" w:space="0" w:color="auto"/>
          </w:divBdr>
        </w:div>
        <w:div w:id="675814222">
          <w:marLeft w:val="0"/>
          <w:marRight w:val="0"/>
          <w:marTop w:val="0"/>
          <w:marBottom w:val="0"/>
          <w:divBdr>
            <w:top w:val="none" w:sz="0" w:space="0" w:color="auto"/>
            <w:left w:val="none" w:sz="0" w:space="0" w:color="auto"/>
            <w:bottom w:val="none" w:sz="0" w:space="0" w:color="auto"/>
            <w:right w:val="none" w:sz="0" w:space="0" w:color="auto"/>
          </w:divBdr>
        </w:div>
        <w:div w:id="1435638793">
          <w:marLeft w:val="0"/>
          <w:marRight w:val="0"/>
          <w:marTop w:val="0"/>
          <w:marBottom w:val="0"/>
          <w:divBdr>
            <w:top w:val="none" w:sz="0" w:space="0" w:color="auto"/>
            <w:left w:val="none" w:sz="0" w:space="0" w:color="auto"/>
            <w:bottom w:val="none" w:sz="0" w:space="0" w:color="auto"/>
            <w:right w:val="none" w:sz="0" w:space="0" w:color="auto"/>
          </w:divBdr>
        </w:div>
        <w:div w:id="734086985">
          <w:marLeft w:val="0"/>
          <w:marRight w:val="0"/>
          <w:marTop w:val="0"/>
          <w:marBottom w:val="0"/>
          <w:divBdr>
            <w:top w:val="none" w:sz="0" w:space="0" w:color="auto"/>
            <w:left w:val="none" w:sz="0" w:space="0" w:color="auto"/>
            <w:bottom w:val="none" w:sz="0" w:space="0" w:color="auto"/>
            <w:right w:val="none" w:sz="0" w:space="0" w:color="auto"/>
          </w:divBdr>
        </w:div>
        <w:div w:id="98990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aleksimeskhishvili</dc:creator>
  <cp:keywords/>
  <dc:description/>
  <cp:lastModifiedBy>Keta aleksimeskhishvili</cp:lastModifiedBy>
  <cp:revision>1</cp:revision>
  <dcterms:created xsi:type="dcterms:W3CDTF">2025-12-15T12:43:00Z</dcterms:created>
  <dcterms:modified xsi:type="dcterms:W3CDTF">2025-12-15T12:44:00Z</dcterms:modified>
</cp:coreProperties>
</file>