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</w:t>
      </w:r>
      <w:r w:rsidR="008F3FD6">
        <w:rPr>
          <w:rFonts w:ascii="Sylfaen" w:hAnsi="Sylfaen" w:cs="Sylfaen"/>
          <w:szCs w:val="22"/>
          <w:lang w:val="ka-GE"/>
        </w:rPr>
        <w:t>ა გრუპი</w:t>
      </w:r>
      <w:r>
        <w:rPr>
          <w:rFonts w:ascii="Sylfaen" w:hAnsi="Sylfaen" w:cs="Sylfaen"/>
          <w:szCs w:val="22"/>
          <w:lang w:val="ka-GE"/>
        </w:rPr>
        <w:t>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C87F6A" w:rsidRPr="00C87F6A">
        <w:rPr>
          <w:rFonts w:ascii="Sylfaen" w:hAnsi="Sylfaen" w:cs="Sylfaen"/>
          <w:b/>
          <w:bCs/>
          <w:lang w:val="ka-GE"/>
        </w:rPr>
        <w:t xml:space="preserve">ბიოდეგრადირებადი ერთჯერადი პლასტმასის ჭიქების შესყიდვაზე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C87F6A">
        <w:rPr>
          <w:rFonts w:ascii="Sylfaen" w:hAnsi="Sylfaen" w:cs="Sylfaen"/>
          <w:lang w:val="ka-GE"/>
        </w:rPr>
        <w:t>5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C87F6A">
        <w:rPr>
          <w:rFonts w:ascii="Sylfaen" w:hAnsi="Sylfaen" w:cs="Sylfaen"/>
          <w:lang w:val="ka-GE"/>
        </w:rPr>
        <w:t>17</w:t>
      </w:r>
      <w:r w:rsidR="00F508F8">
        <w:rPr>
          <w:rFonts w:ascii="Sylfaen" w:hAnsi="Sylfaen" w:cs="Sylfaen"/>
          <w:lang w:val="ka-GE"/>
        </w:rPr>
        <w:t xml:space="preserve"> </w:t>
      </w:r>
      <w:r w:rsidR="00C87F6A">
        <w:rPr>
          <w:rFonts w:ascii="Sylfaen" w:hAnsi="Sylfaen" w:cs="Sylfaen"/>
          <w:lang w:val="ka-GE"/>
        </w:rPr>
        <w:t>დეკმებრისა</w:t>
      </w:r>
      <w:r w:rsidR="009735D4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87F6A">
        <w:rPr>
          <w:rFonts w:ascii="Sylfaen" w:hAnsi="Sylfaen" w:cs="Sylfaen"/>
          <w:b/>
          <w:lang w:val="ka-GE"/>
        </w:rPr>
        <w:t>11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C87F6A">
        <w:rPr>
          <w:rFonts w:ascii="Sylfaen" w:hAnsi="Sylfaen" w:cs="Sylfaen"/>
          <w:b/>
          <w:lang w:val="ka-GE"/>
        </w:rPr>
        <w:t>17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</w:t>
      </w:r>
      <w:r w:rsidR="00C87F6A">
        <w:rPr>
          <w:rFonts w:ascii="Sylfaen" w:hAnsi="Sylfaen" w:cs="Sylfaen"/>
          <w:lang w:val="ka-GE"/>
        </w:rPr>
        <w:t>23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C87F6A">
        <w:rPr>
          <w:rFonts w:ascii="Sylfaen" w:hAnsi="Sylfaen" w:cs="Sylfaen"/>
          <w:b/>
          <w:lang w:val="ka-GE"/>
        </w:rPr>
        <w:t>26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8F3FD6">
        <w:rPr>
          <w:rFonts w:ascii="Sylfaen" w:hAnsi="Sylfaen" w:cs="Sylfaen"/>
          <w:lang w:val="ka-GE"/>
        </w:rPr>
        <w:t>ა გრუპი</w:t>
      </w:r>
      <w:r w:rsidR="003F641E">
        <w:rPr>
          <w:rFonts w:ascii="Sylfaen" w:hAnsi="Sylfaen" w:cs="Sylfaen"/>
          <w:lang w:val="ka-GE"/>
        </w:rPr>
        <w:t>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</w:t>
      </w:r>
      <w:bookmarkStart w:id="0" w:name="_GoBack"/>
      <w:bookmarkEnd w:id="0"/>
      <w:r w:rsidR="00AC5EB9" w:rsidRPr="00EC4ED5">
        <w:rPr>
          <w:rFonts w:ascii="Sylfaen" w:hAnsi="Sylfaen" w:cs="Sylfaen"/>
          <w:lang w:val="ka-GE"/>
        </w:rPr>
        <w:t xml:space="preserve">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</w:t>
      </w:r>
      <w:r w:rsidR="008F3FD6">
        <w:rPr>
          <w:rFonts w:ascii="Sylfaen" w:hAnsi="Sylfaen" w:cs="Sylfaen"/>
          <w:lang w:val="ka-GE"/>
        </w:rPr>
        <w:t>ა გრუპის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5E6185" w:rsidRPr="00E509A1" w:rsidRDefault="00C66F4D" w:rsidP="003151E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 w:rsidR="00600711">
        <w:rPr>
          <w:rFonts w:ascii="Sylfaen" w:hAnsi="Sylfaen" w:cs="Sylfaen"/>
          <w:b/>
          <w:lang w:val="ka-GE"/>
        </w:rPr>
        <w:t>შესახებ</w:t>
      </w:r>
    </w:p>
    <w:sectPr w:rsidR="005E6185" w:rsidRPr="00E509A1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A6" w:rsidRDefault="00AE5AA6">
      <w:r>
        <w:separator/>
      </w:r>
    </w:p>
  </w:endnote>
  <w:endnote w:type="continuationSeparator" w:id="0">
    <w:p w:rsidR="00AE5AA6" w:rsidRDefault="00AE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8F3FD6">
      <w:rPr>
        <w:noProof/>
      </w:rPr>
      <w:t>3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8F3FD6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A6" w:rsidRDefault="00AE5AA6">
      <w:r>
        <w:separator/>
      </w:r>
    </w:p>
  </w:footnote>
  <w:footnote w:type="continuationSeparator" w:id="0">
    <w:p w:rsidR="00AE5AA6" w:rsidRDefault="00AE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9735D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ფასის გამოკითხვა 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>სს "</w:t>
          </w:r>
          <w:r w:rsidR="008F3FD6">
            <w:rPr>
              <w:rFonts w:ascii="Sylfaen" w:hAnsi="Sylfaen" w:cs="Sylfaen"/>
              <w:b/>
              <w:bCs/>
              <w:sz w:val="20"/>
              <w:lang w:val="ka-GE"/>
            </w:rPr>
            <w:t>ა გრუპის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" </w:t>
          </w:r>
          <w:r w:rsidR="00C87F6A">
            <w:rPr>
              <w:rFonts w:ascii="Sylfaen" w:hAnsi="Sylfaen" w:cs="Sylfaen"/>
              <w:b/>
              <w:bCs/>
              <w:sz w:val="20"/>
              <w:lang w:val="ka-GE"/>
            </w:rPr>
            <w:t xml:space="preserve">ბიოდეგრადირებადი 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>ერთჯერად</w:t>
          </w:r>
          <w:r w:rsidR="00C87F6A">
            <w:rPr>
              <w:rFonts w:ascii="Sylfaen" w:hAnsi="Sylfaen" w:cs="Sylfaen"/>
              <w:b/>
              <w:bCs/>
              <w:sz w:val="20"/>
              <w:lang w:val="ka-GE"/>
            </w:rPr>
            <w:t>ი პლასტმასის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ჭიქების შესყიდვაზე</w:t>
          </w:r>
        </w:p>
        <w:p w:rsidR="00BC2B6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3538B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08B7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0711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5D60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3FD6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5D4"/>
    <w:rsid w:val="00980DEE"/>
    <w:rsid w:val="00981BFA"/>
    <w:rsid w:val="0098297B"/>
    <w:rsid w:val="00990A29"/>
    <w:rsid w:val="0099370A"/>
    <w:rsid w:val="00994B0C"/>
    <w:rsid w:val="009A00B3"/>
    <w:rsid w:val="009A1FEA"/>
    <w:rsid w:val="009B0622"/>
    <w:rsid w:val="009B2CD7"/>
    <w:rsid w:val="009B57AC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E5AA6"/>
    <w:rsid w:val="00AF3639"/>
    <w:rsid w:val="00AF725B"/>
    <w:rsid w:val="00B13099"/>
    <w:rsid w:val="00B1317D"/>
    <w:rsid w:val="00B13D28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2B6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87F6A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ED6"/>
    <w:rsid w:val="00E302DD"/>
    <w:rsid w:val="00E358AC"/>
    <w:rsid w:val="00E36BF6"/>
    <w:rsid w:val="00E37F4E"/>
    <w:rsid w:val="00E41450"/>
    <w:rsid w:val="00E447BD"/>
    <w:rsid w:val="00E509A1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B635B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E70E-4B16-4786-ACCC-DCC0F295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4832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15</cp:revision>
  <cp:lastPrinted>2009-08-18T11:14:00Z</cp:lastPrinted>
  <dcterms:created xsi:type="dcterms:W3CDTF">2022-03-24T10:26:00Z</dcterms:created>
  <dcterms:modified xsi:type="dcterms:W3CDTF">2025-12-17T06:30:00Z</dcterms:modified>
</cp:coreProperties>
</file>