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F291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47A1766C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1848ED98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40CFAA53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9C5FE47" w14:textId="5531473A" w:rsidR="000A573E" w:rsidRPr="006C4D75" w:rsidRDefault="00331801" w:rsidP="001A7CCE">
      <w:pPr>
        <w:jc w:val="center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7C1585">
        <w:rPr>
          <w:rFonts w:ascii="Sylfaen" w:hAnsi="Sylfaen"/>
          <w:color w:val="FF0000"/>
          <w:sz w:val="14"/>
          <w:szCs w:val="14"/>
          <w:lang w:val="ka-GE"/>
        </w:rPr>
        <w:t>14 იანვარი</w:t>
      </w:r>
      <w:r w:rsidR="001A7CCE" w:rsidRPr="000C7607">
        <w:rPr>
          <w:rFonts w:ascii="Sylfaen" w:hAnsi="Sylfaen"/>
          <w:sz w:val="14"/>
          <w:szCs w:val="14"/>
        </w:rPr>
        <w:t xml:space="preserve"> 20</w:t>
      </w:r>
      <w:r w:rsidR="0021027C" w:rsidRPr="0021027C">
        <w:rPr>
          <w:rFonts w:ascii="Sylfaen" w:hAnsi="Sylfaen"/>
          <w:sz w:val="14"/>
          <w:szCs w:val="14"/>
          <w:lang w:val="ka-GE"/>
        </w:rPr>
        <w:t>2</w:t>
      </w:r>
      <w:r w:rsidR="007C1585">
        <w:rPr>
          <w:rFonts w:ascii="Sylfaen" w:hAnsi="Sylfaen"/>
          <w:sz w:val="14"/>
          <w:szCs w:val="14"/>
          <w:lang w:val="ka-GE"/>
        </w:rPr>
        <w:t>6</w:t>
      </w:r>
      <w:r w:rsidR="00AE7AA1">
        <w:rPr>
          <w:rFonts w:ascii="Sylfaen" w:hAnsi="Sylfaen"/>
          <w:sz w:val="14"/>
          <w:szCs w:val="14"/>
          <w:lang w:val="ka-GE"/>
        </w:rPr>
        <w:t xml:space="preserve"> </w:t>
      </w:r>
      <w:r w:rsidR="001A7CCE" w:rsidRPr="000C7607">
        <w:rPr>
          <w:rFonts w:ascii="Sylfaen" w:hAnsi="Sylfaen" w:cs="Sylfaen"/>
          <w:sz w:val="14"/>
          <w:szCs w:val="14"/>
        </w:rPr>
        <w:t>წელი</w:t>
      </w:r>
    </w:p>
    <w:p w14:paraId="3BB8D89D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3D5ACB63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5F397253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255C44" w:rsidRPr="006C4D75" w14:paraId="4214314C" w14:textId="77777777" w:rsidTr="0040256B">
        <w:trPr>
          <w:trHeight w:val="101"/>
        </w:trPr>
        <w:tc>
          <w:tcPr>
            <w:tcW w:w="720" w:type="dxa"/>
          </w:tcPr>
          <w:p w14:paraId="39E3C06E" w14:textId="77777777" w:rsidR="00255C44" w:rsidRPr="006C4D75" w:rsidRDefault="00255C44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715A1379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  <w:tc>
          <w:tcPr>
            <w:tcW w:w="5850" w:type="dxa"/>
            <w:vAlign w:val="center"/>
          </w:tcPr>
          <w:p w14:paraId="27AA0F28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47BC9" w:rsidRPr="006C4D75" w14:paraId="3DF44BD9" w14:textId="77777777" w:rsidTr="0040256B">
        <w:trPr>
          <w:trHeight w:val="60"/>
        </w:trPr>
        <w:tc>
          <w:tcPr>
            <w:tcW w:w="720" w:type="dxa"/>
          </w:tcPr>
          <w:p w14:paraId="1BB3FA31" w14:textId="77777777" w:rsidR="00647BC9" w:rsidRPr="006C4D75" w:rsidRDefault="00647BC9" w:rsidP="00647BC9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291EB83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  <w:tc>
          <w:tcPr>
            <w:tcW w:w="5850" w:type="dxa"/>
          </w:tcPr>
          <w:p w14:paraId="1304E5E5" w14:textId="43E76632" w:rsidR="00647BC9" w:rsidRPr="00255C44" w:rsidRDefault="00A32ED1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სს ევექს</w:t>
            </w:r>
            <w:r w:rsidR="00AE7AA1">
              <w:rPr>
                <w:rFonts w:ascii="Sylfaen" w:hAnsi="Sylfaen"/>
                <w:sz w:val="14"/>
                <w:szCs w:val="14"/>
                <w:lang w:val="ka-GE"/>
              </w:rPr>
              <w:t>ი</w:t>
            </w:r>
            <w:r w:rsidR="00647BC9" w:rsidRPr="00C57DB5">
              <w:rPr>
                <w:rFonts w:ascii="Sylfaen" w:hAnsi="Sylfaen"/>
                <w:sz w:val="14"/>
                <w:szCs w:val="14"/>
                <w:lang w:val="ka-GE"/>
              </w:rPr>
              <w:t xml:space="preserve">   </w:t>
            </w:r>
          </w:p>
        </w:tc>
      </w:tr>
      <w:tr w:rsidR="00647BC9" w:rsidRPr="006C4D75" w14:paraId="3324F187" w14:textId="77777777" w:rsidTr="0040256B">
        <w:trPr>
          <w:trHeight w:val="60"/>
        </w:trPr>
        <w:tc>
          <w:tcPr>
            <w:tcW w:w="720" w:type="dxa"/>
          </w:tcPr>
          <w:p w14:paraId="600E8C83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9315EC6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60D9BF5" w14:textId="689BB9DC" w:rsidR="00647BC9" w:rsidRPr="00255C44" w:rsidRDefault="00AE7AA1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405670000</w:t>
            </w:r>
          </w:p>
        </w:tc>
      </w:tr>
      <w:tr w:rsidR="00647BC9" w:rsidRPr="006C4D75" w14:paraId="7AC5811F" w14:textId="77777777" w:rsidTr="0040256B">
        <w:trPr>
          <w:trHeight w:val="60"/>
        </w:trPr>
        <w:tc>
          <w:tcPr>
            <w:tcW w:w="720" w:type="dxa"/>
          </w:tcPr>
          <w:p w14:paraId="2B52949F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A1C63AB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E284AAC" w14:textId="51D0D147" w:rsidR="00647BC9" w:rsidRPr="00181B37" w:rsidRDefault="00A32ED1" w:rsidP="00647BC9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ქ.თბილისი </w:t>
            </w:r>
            <w:r w:rsidR="003F7A3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სულხან ცინცაძის 24ა</w:t>
            </w:r>
          </w:p>
        </w:tc>
      </w:tr>
      <w:tr w:rsidR="00255C44" w:rsidRPr="006C4D75" w14:paraId="01627758" w14:textId="77777777" w:rsidTr="0040256B">
        <w:trPr>
          <w:trHeight w:val="60"/>
        </w:trPr>
        <w:tc>
          <w:tcPr>
            <w:tcW w:w="720" w:type="dxa"/>
          </w:tcPr>
          <w:p w14:paraId="05F77DE6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2A588F2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3835BB8" w14:textId="6BCEF890" w:rsidR="00255C44" w:rsidRPr="00BB3BF9" w:rsidRDefault="003F7A30" w:rsidP="00255C44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ქ.თბილისი სულხან ცინცაძის 24ა</w:t>
            </w:r>
          </w:p>
        </w:tc>
      </w:tr>
      <w:tr w:rsidR="00255C44" w:rsidRPr="006C4D75" w14:paraId="0CA9E0A2" w14:textId="77777777" w:rsidTr="0040256B">
        <w:trPr>
          <w:trHeight w:val="60"/>
        </w:trPr>
        <w:tc>
          <w:tcPr>
            <w:tcW w:w="720" w:type="dxa"/>
          </w:tcPr>
          <w:p w14:paraId="398918C0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5B8756EA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  <w:tc>
          <w:tcPr>
            <w:tcW w:w="5850" w:type="dxa"/>
            <w:vAlign w:val="center"/>
          </w:tcPr>
          <w:p w14:paraId="721E3A27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47BC9" w:rsidRPr="006C4D75" w14:paraId="5D57D190" w14:textId="77777777" w:rsidTr="00A97BFF">
        <w:trPr>
          <w:trHeight w:val="61"/>
        </w:trPr>
        <w:tc>
          <w:tcPr>
            <w:tcW w:w="720" w:type="dxa"/>
          </w:tcPr>
          <w:p w14:paraId="6C1B6112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167CE8C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366BB6FD" w14:textId="4DCEB6BA" w:rsidR="00647BC9" w:rsidRPr="00420687" w:rsidRDefault="003F7A30" w:rsidP="00647BC9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Cs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ka-GE"/>
              </w:rPr>
              <w:t>გიორგი გორდაძე</w:t>
            </w:r>
          </w:p>
        </w:tc>
      </w:tr>
      <w:tr w:rsidR="00647BC9" w:rsidRPr="006C4D75" w14:paraId="313224BF" w14:textId="77777777" w:rsidTr="00A97BFF">
        <w:trPr>
          <w:trHeight w:val="60"/>
        </w:trPr>
        <w:tc>
          <w:tcPr>
            <w:tcW w:w="720" w:type="dxa"/>
          </w:tcPr>
          <w:p w14:paraId="0D0F705C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3960" w:type="dxa"/>
          </w:tcPr>
          <w:p w14:paraId="2456343E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1A1EF88E" w14:textId="3AC7F1DA" w:rsidR="00647BC9" w:rsidRPr="00A508E2" w:rsidRDefault="003F7A30" w:rsidP="00647BC9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Cs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ka-GE"/>
              </w:rPr>
              <w:t>დირექტორი</w:t>
            </w:r>
          </w:p>
        </w:tc>
      </w:tr>
      <w:tr w:rsidR="00647BC9" w:rsidRPr="006C4D75" w14:paraId="762AB9B6" w14:textId="77777777" w:rsidTr="0040256B">
        <w:trPr>
          <w:trHeight w:val="139"/>
        </w:trPr>
        <w:tc>
          <w:tcPr>
            <w:tcW w:w="720" w:type="dxa"/>
          </w:tcPr>
          <w:p w14:paraId="6BB87FF6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2011F2A3" w14:textId="77777777" w:rsidR="00647BC9" w:rsidRPr="00BB3BF9" w:rsidRDefault="00647BC9" w:rsidP="00647BC9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6B960AD7" w14:textId="77777777" w:rsidR="00647BC9" w:rsidRPr="00BB3BF9" w:rsidRDefault="00647BC9" w:rsidP="00647BC9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47BC9" w:rsidRPr="006C4D75" w14:paraId="5B7EC692" w14:textId="77777777" w:rsidTr="0040256B">
        <w:trPr>
          <w:trHeight w:val="151"/>
        </w:trPr>
        <w:tc>
          <w:tcPr>
            <w:tcW w:w="720" w:type="dxa"/>
          </w:tcPr>
          <w:p w14:paraId="602372A0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AF1598A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804CED0" w14:textId="55A7C2D6" w:rsidR="00647BC9" w:rsidRPr="00EB2469" w:rsidRDefault="003F7A30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ილონა ზიბზიბაძე</w:t>
            </w:r>
          </w:p>
        </w:tc>
      </w:tr>
      <w:tr w:rsidR="00647BC9" w:rsidRPr="006C4D75" w14:paraId="72E1FE34" w14:textId="77777777" w:rsidTr="0040256B">
        <w:trPr>
          <w:trHeight w:val="60"/>
        </w:trPr>
        <w:tc>
          <w:tcPr>
            <w:tcW w:w="720" w:type="dxa"/>
          </w:tcPr>
          <w:p w14:paraId="2994B40B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8CBDE24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015E43E" w14:textId="67C38882" w:rsidR="00647BC9" w:rsidRPr="00480D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შესყიდვების </w:t>
            </w:r>
            <w:r w:rsidR="003F7A30">
              <w:rPr>
                <w:rFonts w:ascii="Sylfaen" w:hAnsi="Sylfaen"/>
                <w:sz w:val="14"/>
                <w:szCs w:val="14"/>
                <w:lang w:val="ka-GE"/>
              </w:rPr>
              <w:t>ჯგუფის ლიდი</w:t>
            </w:r>
          </w:p>
        </w:tc>
      </w:tr>
      <w:tr w:rsidR="00647BC9" w:rsidRPr="006C4D75" w14:paraId="4CDF1C68" w14:textId="77777777" w:rsidTr="0040256B">
        <w:trPr>
          <w:trHeight w:val="60"/>
        </w:trPr>
        <w:tc>
          <w:tcPr>
            <w:tcW w:w="720" w:type="dxa"/>
          </w:tcPr>
          <w:p w14:paraId="62E20F5E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5747A5E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30872D3C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</w:tr>
      <w:tr w:rsidR="00647BC9" w:rsidRPr="006C4D75" w14:paraId="5F597324" w14:textId="77777777" w:rsidTr="0040256B">
        <w:trPr>
          <w:trHeight w:val="60"/>
        </w:trPr>
        <w:tc>
          <w:tcPr>
            <w:tcW w:w="720" w:type="dxa"/>
          </w:tcPr>
          <w:p w14:paraId="265191CE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2536561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464F009" w14:textId="77777777" w:rsidR="00647BC9" w:rsidRPr="00BB3BF9" w:rsidRDefault="00647BC9" w:rsidP="00647BC9">
            <w:pPr>
              <w:ind w:left="720" w:hanging="720"/>
              <w:rPr>
                <w:sz w:val="14"/>
                <w:szCs w:val="14"/>
              </w:rPr>
            </w:pPr>
          </w:p>
        </w:tc>
      </w:tr>
      <w:tr w:rsidR="00647BC9" w:rsidRPr="006C4D75" w14:paraId="0E6ED5BA" w14:textId="77777777" w:rsidTr="0040256B">
        <w:trPr>
          <w:trHeight w:val="61"/>
        </w:trPr>
        <w:tc>
          <w:tcPr>
            <w:tcW w:w="720" w:type="dxa"/>
          </w:tcPr>
          <w:p w14:paraId="05A31F3F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DF26E54" w14:textId="77777777" w:rsidR="00647BC9" w:rsidRPr="00BB3BF9" w:rsidRDefault="00647BC9" w:rsidP="00647BC9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387F806E" w14:textId="648F79A5" w:rsidR="00647BC9" w:rsidRPr="00BB3BF9" w:rsidRDefault="00647BC9" w:rsidP="00681C62">
            <w:pPr>
              <w:rPr>
                <w:sz w:val="14"/>
                <w:szCs w:val="14"/>
                <w:lang w:val="en-US"/>
              </w:rPr>
            </w:pPr>
          </w:p>
        </w:tc>
      </w:tr>
      <w:tr w:rsidR="00647BC9" w:rsidRPr="006C4D75" w14:paraId="52557EB1" w14:textId="77777777" w:rsidTr="0040256B">
        <w:trPr>
          <w:trHeight w:val="87"/>
        </w:trPr>
        <w:tc>
          <w:tcPr>
            <w:tcW w:w="720" w:type="dxa"/>
          </w:tcPr>
          <w:p w14:paraId="4D0A0B46" w14:textId="77777777" w:rsidR="00647BC9" w:rsidRPr="006C4D75" w:rsidRDefault="00647BC9" w:rsidP="00647BC9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55F59F1" w14:textId="77777777" w:rsidR="00647BC9" w:rsidRPr="006C4D75" w:rsidRDefault="00647BC9" w:rsidP="00647BC9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5850" w:type="dxa"/>
            <w:vAlign w:val="center"/>
          </w:tcPr>
          <w:p w14:paraId="060A4068" w14:textId="77777777" w:rsidR="00647BC9" w:rsidRPr="006C4D75" w:rsidRDefault="00647BC9" w:rsidP="00647BC9">
            <w:pPr>
              <w:shd w:val="clear" w:color="auto" w:fill="FFFFFF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647BC9" w:rsidRPr="006C4D75" w14:paraId="150C4C8E" w14:textId="77777777" w:rsidTr="0040256B">
        <w:trPr>
          <w:trHeight w:val="100"/>
        </w:trPr>
        <w:tc>
          <w:tcPr>
            <w:tcW w:w="720" w:type="dxa"/>
          </w:tcPr>
          <w:p w14:paraId="34EA2CE2" w14:textId="77777777" w:rsidR="00647BC9" w:rsidRPr="006C4D75" w:rsidRDefault="00647BC9" w:rsidP="00647BC9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6C8B91D" w14:textId="77777777" w:rsidR="00647BC9" w:rsidRPr="006C4D75" w:rsidRDefault="00647BC9" w:rsidP="00647BC9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2D724D4D" w14:textId="77777777" w:rsidR="00647BC9" w:rsidRPr="006C4D75" w:rsidRDefault="00647BC9" w:rsidP="00647BC9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647BC9" w:rsidRPr="006C4D75" w14:paraId="2C6D3571" w14:textId="77777777" w:rsidTr="0040256B">
        <w:trPr>
          <w:trHeight w:val="125"/>
        </w:trPr>
        <w:tc>
          <w:tcPr>
            <w:tcW w:w="720" w:type="dxa"/>
          </w:tcPr>
          <w:p w14:paraId="13E1A54D" w14:textId="77777777" w:rsidR="00647BC9" w:rsidRPr="006C4D75" w:rsidRDefault="00647BC9" w:rsidP="00647BC9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28F39E9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BAD8FA9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66B1D91B" w14:textId="77777777" w:rsidTr="0040256B">
        <w:trPr>
          <w:trHeight w:val="137"/>
        </w:trPr>
        <w:tc>
          <w:tcPr>
            <w:tcW w:w="720" w:type="dxa"/>
          </w:tcPr>
          <w:p w14:paraId="74A7EADE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8EA370A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7C4E6627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60055359" w14:textId="77777777" w:rsidTr="0040256B">
        <w:trPr>
          <w:trHeight w:val="60"/>
        </w:trPr>
        <w:tc>
          <w:tcPr>
            <w:tcW w:w="720" w:type="dxa"/>
          </w:tcPr>
          <w:p w14:paraId="4FE2D339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CE198F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3CB75359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743845CC" w14:textId="77777777" w:rsidTr="0040256B">
        <w:trPr>
          <w:trHeight w:val="60"/>
        </w:trPr>
        <w:tc>
          <w:tcPr>
            <w:tcW w:w="720" w:type="dxa"/>
          </w:tcPr>
          <w:p w14:paraId="475B6B40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2E6200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372551F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647BC9" w:rsidRPr="006C4D75" w14:paraId="0904594D" w14:textId="77777777" w:rsidTr="0040256B">
        <w:trPr>
          <w:trHeight w:val="60"/>
        </w:trPr>
        <w:tc>
          <w:tcPr>
            <w:tcW w:w="720" w:type="dxa"/>
          </w:tcPr>
          <w:p w14:paraId="2DDAA483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37E603BE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0E2A54D0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647BC9" w:rsidRPr="006C4D75" w14:paraId="3954D1E5" w14:textId="77777777" w:rsidTr="0040256B">
        <w:trPr>
          <w:trHeight w:val="74"/>
        </w:trPr>
        <w:tc>
          <w:tcPr>
            <w:tcW w:w="720" w:type="dxa"/>
          </w:tcPr>
          <w:p w14:paraId="06E2991F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3E18EBF1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D20406F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12AACC00" w14:textId="77777777" w:rsidTr="0040256B">
        <w:trPr>
          <w:trHeight w:val="99"/>
        </w:trPr>
        <w:tc>
          <w:tcPr>
            <w:tcW w:w="720" w:type="dxa"/>
          </w:tcPr>
          <w:p w14:paraId="0605036E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9614025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2E69338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183B2C6A" w14:textId="77777777" w:rsidTr="0040256B">
        <w:trPr>
          <w:trHeight w:val="125"/>
        </w:trPr>
        <w:tc>
          <w:tcPr>
            <w:tcW w:w="720" w:type="dxa"/>
          </w:tcPr>
          <w:p w14:paraId="3D60CAD5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521503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8FCE070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647BC9" w:rsidRPr="006C4D75" w14:paraId="62B49796" w14:textId="77777777" w:rsidTr="0040256B">
        <w:trPr>
          <w:trHeight w:val="163"/>
        </w:trPr>
        <w:tc>
          <w:tcPr>
            <w:tcW w:w="720" w:type="dxa"/>
          </w:tcPr>
          <w:p w14:paraId="31239E93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E872C7E" w14:textId="77777777" w:rsidR="00647BC9" w:rsidRPr="006C4D75" w:rsidRDefault="00647BC9" w:rsidP="00647BC9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62C2B55D" w14:textId="77777777" w:rsidR="00647BC9" w:rsidRPr="006C4D75" w:rsidRDefault="00647BC9" w:rsidP="00647BC9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647BC9" w:rsidRPr="006C4D75" w14:paraId="78316628" w14:textId="77777777" w:rsidTr="0040256B">
        <w:trPr>
          <w:trHeight w:val="105"/>
        </w:trPr>
        <w:tc>
          <w:tcPr>
            <w:tcW w:w="720" w:type="dxa"/>
          </w:tcPr>
          <w:p w14:paraId="4528376C" w14:textId="77777777" w:rsidR="00647BC9" w:rsidRPr="006C4D75" w:rsidRDefault="00647BC9" w:rsidP="00647BC9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32E31396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7323CE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4D3AA7F7" w14:textId="77777777" w:rsidTr="0040256B">
        <w:trPr>
          <w:trHeight w:val="60"/>
        </w:trPr>
        <w:tc>
          <w:tcPr>
            <w:tcW w:w="720" w:type="dxa"/>
          </w:tcPr>
          <w:p w14:paraId="1A2901F2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323C6CAB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321A819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667FB834" w14:textId="77777777" w:rsidTr="0040256B">
        <w:trPr>
          <w:trHeight w:val="60"/>
        </w:trPr>
        <w:tc>
          <w:tcPr>
            <w:tcW w:w="720" w:type="dxa"/>
          </w:tcPr>
          <w:p w14:paraId="5E4A8340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B9A03E4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E943346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7D1B2894" w14:textId="77777777" w:rsidTr="0040256B">
        <w:trPr>
          <w:trHeight w:val="60"/>
        </w:trPr>
        <w:tc>
          <w:tcPr>
            <w:tcW w:w="720" w:type="dxa"/>
          </w:tcPr>
          <w:p w14:paraId="4CCA906F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13E199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FC253F2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647BC9" w:rsidRPr="006C4D75" w14:paraId="6D31984D" w14:textId="77777777" w:rsidTr="0040256B">
        <w:trPr>
          <w:trHeight w:val="85"/>
        </w:trPr>
        <w:tc>
          <w:tcPr>
            <w:tcW w:w="720" w:type="dxa"/>
          </w:tcPr>
          <w:p w14:paraId="15F0A26A" w14:textId="77777777" w:rsidR="00647BC9" w:rsidRPr="006C4D75" w:rsidRDefault="00647BC9" w:rsidP="00647BC9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937EAB" w14:textId="77777777" w:rsidR="00647BC9" w:rsidRPr="006C4D75" w:rsidRDefault="00647BC9" w:rsidP="00647BC9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46F4EDE" w14:textId="77777777" w:rsidR="00647BC9" w:rsidRPr="006C4D75" w:rsidRDefault="00647BC9" w:rsidP="00647BC9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22ACB357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5668E3B3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10F434BA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0397903A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6884AD93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4503DC8F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03132F7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3A7CFF7A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6861CBAD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ACF9C52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59AC9B8D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4DD85F0B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0C2F547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24854D2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3BEAE6B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3DA0D08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5D6D3FD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4336B85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254A4236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2CDAE756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64E9A049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71B70CBF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167101BC" w14:textId="61E8DE3E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proofErr w:type="spellStart"/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თანხმდებიან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7C1585">
        <w:rPr>
          <w:rFonts w:ascii="Sylfaen" w:hAnsi="Sylfaen" w:cs="Sylfaen"/>
          <w:spacing w:val="-3"/>
          <w:sz w:val="14"/>
          <w:szCs w:val="14"/>
          <w:lang w:val="en-US"/>
        </w:rPr>
        <w:t>რომ</w:t>
      </w:r>
      <w:proofErr w:type="spellEnd"/>
      <w:r w:rsidRPr="007C1585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3F7A30" w:rsidRPr="007C1585">
        <w:rPr>
          <w:rFonts w:ascii="Sylfaen" w:hAnsi="Sylfaen" w:cs="Sylfaen"/>
          <w:spacing w:val="-3"/>
          <w:sz w:val="14"/>
          <w:szCs w:val="14"/>
          <w:lang w:val="ka-GE"/>
        </w:rPr>
        <w:t xml:space="preserve">სამედიცინო უნიფორმის </w:t>
      </w:r>
      <w:r w:rsidR="00F66D27" w:rsidRPr="007C1585">
        <w:rPr>
          <w:rFonts w:ascii="Sylfaen" w:hAnsi="Sylfaen" w:cs="Sylfaen"/>
          <w:spacing w:val="-3"/>
          <w:sz w:val="14"/>
          <w:szCs w:val="14"/>
          <w:lang w:val="ka-GE"/>
        </w:rPr>
        <w:t>ნასყიდობის</w:t>
      </w:r>
      <w:r w:rsidR="003F7A30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proofErr w:type="spellStart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>თაობაზე</w:t>
      </w:r>
      <w:proofErr w:type="spellEnd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F66D27" w:rsidRPr="00F66D27">
        <w:rPr>
          <w:rFonts w:ascii="Sylfaen" w:hAnsi="Sylfaen" w:cs="Sylfaen"/>
          <w:spacing w:val="-3"/>
          <w:sz w:val="14"/>
          <w:szCs w:val="14"/>
          <w:lang w:val="en-US"/>
        </w:rPr>
        <w:t>2(</w:t>
      </w:r>
      <w:r w:rsidR="00F66D27" w:rsidRPr="00F66D27">
        <w:rPr>
          <w:rFonts w:ascii="Sylfaen" w:hAnsi="Sylfaen" w:cs="Sylfaen"/>
          <w:spacing w:val="-3"/>
          <w:sz w:val="14"/>
          <w:szCs w:val="14"/>
          <w:lang w:val="ka-GE"/>
        </w:rPr>
        <w:t xml:space="preserve">ორი) წლის განმავლობაში 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085C5700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proofErr w:type="spellStart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>მიუხედავად</w:t>
      </w:r>
      <w:proofErr w:type="spellEnd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59825C56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lastRenderedPageBreak/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791D381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70FCC26F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2BBC09A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7CAD961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6C02414B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proofErr w:type="spellStart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საჯაროდ</w:t>
      </w:r>
      <w:proofErr w:type="spellEnd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2D8FB908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7DBA3933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6C315CCD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3CC2074E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7A9F0549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6C4D75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419ACC70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6AA1B588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58BE223C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11342CFE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19AED3E8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630437A2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3D71F3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D540E5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362768B5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20E8C79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1D3DAB8C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61EADC7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0A18D3C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581D14F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1047B73E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proofErr w:type="spellStart"/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proofErr w:type="spellEnd"/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proofErr w:type="gramEnd"/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  <w:proofErr w:type="gramEnd"/>
    </w:p>
    <w:p w14:paraId="2A4D7C99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79B1C076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33168A0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0987A269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336E5948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B63EF68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33E430DD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54335E15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51AD36A0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7D1580A6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3CF5490E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2900758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11A994E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1C27275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0BADB4BE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lastRenderedPageBreak/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21FBA661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4E2AAA68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55D84972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6586894E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54E6EF1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5D030C2F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8F751F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2311853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722F95AB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268DBE67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26CE43DF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520E7C4E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10C3A251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3C36B912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1A66B17F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0B41353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47564E37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55035F95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D76BB88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F053988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167CEA41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51337CE7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3F4B9A16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5263149C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3E1A7D9D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1951BAD1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6F78A20A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01ED49BB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732343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2C0A2569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lastRenderedPageBreak/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C49E82E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A5CFC65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3C4BA26B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3CA2BE6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4A7080D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590A9942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6A64FD3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3550F2C6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7D7E5457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72769992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4AEE5B91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353BA85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CB4C8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E76DC84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0F69A28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4F84C114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2F0003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C454A0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9358E5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6A16D8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9F2AA8F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D85E860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53055BB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0A55E33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BFB821D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BB5C0B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0C6CCBE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05A95817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CA50D46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72FB02A1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22A0D047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0E62FBF4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0668700C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6F9F3CDF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4AEF1FE9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374577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3E77" w14:textId="77777777" w:rsidR="007608E5" w:rsidRDefault="007608E5">
      <w:r>
        <w:separator/>
      </w:r>
    </w:p>
  </w:endnote>
  <w:endnote w:type="continuationSeparator" w:id="0">
    <w:p w14:paraId="6174DD01" w14:textId="77777777" w:rsidR="007608E5" w:rsidRDefault="0076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t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2A50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45766B">
      <w:rPr>
        <w:rStyle w:val="PageNumber"/>
        <w:rFonts w:ascii="Sylfaen" w:hAnsi="Sylfaen"/>
        <w:noProof/>
        <w:sz w:val="12"/>
        <w:szCs w:val="12"/>
      </w:rPr>
      <w:t>3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</w:t>
    </w:r>
    <w:r w:rsidRPr="00C74867">
      <w:rPr>
        <w:rStyle w:val="PageNumber"/>
        <w:rFonts w:ascii="Sylfaen" w:hAnsi="Sylfaen"/>
        <w:sz w:val="12"/>
        <w:szCs w:val="12"/>
      </w:rPr>
      <w:t xml:space="preserve">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45766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8FD0294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6D588E20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795161D3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66DB" w14:textId="77777777" w:rsidR="007608E5" w:rsidRDefault="007608E5">
      <w:r>
        <w:separator/>
      </w:r>
    </w:p>
  </w:footnote>
  <w:footnote w:type="continuationSeparator" w:id="0">
    <w:p w14:paraId="0F06030E" w14:textId="77777777" w:rsidR="007608E5" w:rsidRDefault="0076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5E76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2B09A4E4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2086762561">
    <w:abstractNumId w:val="13"/>
  </w:num>
  <w:num w:numId="2" w16cid:durableId="20923093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2754074">
    <w:abstractNumId w:val="7"/>
  </w:num>
  <w:num w:numId="4" w16cid:durableId="1737125876">
    <w:abstractNumId w:val="15"/>
  </w:num>
  <w:num w:numId="5" w16cid:durableId="1691026302">
    <w:abstractNumId w:val="30"/>
  </w:num>
  <w:num w:numId="6" w16cid:durableId="689258029">
    <w:abstractNumId w:val="17"/>
  </w:num>
  <w:num w:numId="7" w16cid:durableId="2040155607">
    <w:abstractNumId w:val="31"/>
  </w:num>
  <w:num w:numId="8" w16cid:durableId="1635479326">
    <w:abstractNumId w:val="37"/>
  </w:num>
  <w:num w:numId="9" w16cid:durableId="761881111">
    <w:abstractNumId w:val="10"/>
  </w:num>
  <w:num w:numId="10" w16cid:durableId="1283268658">
    <w:abstractNumId w:val="0"/>
  </w:num>
  <w:num w:numId="11" w16cid:durableId="822740964">
    <w:abstractNumId w:val="20"/>
  </w:num>
  <w:num w:numId="12" w16cid:durableId="214318904">
    <w:abstractNumId w:val="11"/>
  </w:num>
  <w:num w:numId="13" w16cid:durableId="1258444019">
    <w:abstractNumId w:val="25"/>
  </w:num>
  <w:num w:numId="14" w16cid:durableId="619413361">
    <w:abstractNumId w:val="22"/>
  </w:num>
  <w:num w:numId="15" w16cid:durableId="1389381017">
    <w:abstractNumId w:val="33"/>
  </w:num>
  <w:num w:numId="16" w16cid:durableId="1765147985">
    <w:abstractNumId w:val="36"/>
  </w:num>
  <w:num w:numId="17" w16cid:durableId="2087527511">
    <w:abstractNumId w:val="1"/>
  </w:num>
  <w:num w:numId="18" w16cid:durableId="1612972602">
    <w:abstractNumId w:val="16"/>
  </w:num>
  <w:num w:numId="19" w16cid:durableId="46532507">
    <w:abstractNumId w:val="26"/>
  </w:num>
  <w:num w:numId="20" w16cid:durableId="1149402529">
    <w:abstractNumId w:val="3"/>
  </w:num>
  <w:num w:numId="21" w16cid:durableId="1436367886">
    <w:abstractNumId w:val="4"/>
  </w:num>
  <w:num w:numId="22" w16cid:durableId="902445660">
    <w:abstractNumId w:val="28"/>
  </w:num>
  <w:num w:numId="23" w16cid:durableId="425614579">
    <w:abstractNumId w:val="19"/>
  </w:num>
  <w:num w:numId="24" w16cid:durableId="1834953054">
    <w:abstractNumId w:val="23"/>
  </w:num>
  <w:num w:numId="25" w16cid:durableId="1416782916">
    <w:abstractNumId w:val="32"/>
  </w:num>
  <w:num w:numId="26" w16cid:durableId="1395277423">
    <w:abstractNumId w:val="2"/>
  </w:num>
  <w:num w:numId="27" w16cid:durableId="1510556902">
    <w:abstractNumId w:val="18"/>
  </w:num>
  <w:num w:numId="28" w16cid:durableId="445583685">
    <w:abstractNumId w:val="24"/>
  </w:num>
  <w:num w:numId="29" w16cid:durableId="1092895828">
    <w:abstractNumId w:val="5"/>
  </w:num>
  <w:num w:numId="30" w16cid:durableId="791945355">
    <w:abstractNumId w:val="27"/>
  </w:num>
  <w:num w:numId="31" w16cid:durableId="399593800">
    <w:abstractNumId w:val="21"/>
  </w:num>
  <w:num w:numId="32" w16cid:durableId="1788423891">
    <w:abstractNumId w:val="9"/>
  </w:num>
  <w:num w:numId="33" w16cid:durableId="635767917">
    <w:abstractNumId w:val="8"/>
  </w:num>
  <w:num w:numId="34" w16cid:durableId="2069262369">
    <w:abstractNumId w:val="29"/>
  </w:num>
  <w:num w:numId="35" w16cid:durableId="73283618">
    <w:abstractNumId w:val="14"/>
  </w:num>
  <w:num w:numId="36" w16cid:durableId="817502634">
    <w:abstractNumId w:val="12"/>
  </w:num>
  <w:num w:numId="37" w16cid:durableId="1606420618">
    <w:abstractNumId w:val="35"/>
  </w:num>
  <w:num w:numId="38" w16cid:durableId="131556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91474"/>
    <w:rsid w:val="00094A78"/>
    <w:rsid w:val="000A573E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0F795D"/>
    <w:rsid w:val="00101712"/>
    <w:rsid w:val="00110EE6"/>
    <w:rsid w:val="00122BB3"/>
    <w:rsid w:val="001454AE"/>
    <w:rsid w:val="0015443D"/>
    <w:rsid w:val="00172B3A"/>
    <w:rsid w:val="00180691"/>
    <w:rsid w:val="00180A94"/>
    <w:rsid w:val="001820C3"/>
    <w:rsid w:val="00186A9A"/>
    <w:rsid w:val="001A7CCE"/>
    <w:rsid w:val="001B51C4"/>
    <w:rsid w:val="001C22D0"/>
    <w:rsid w:val="001D75DF"/>
    <w:rsid w:val="001E4D78"/>
    <w:rsid w:val="001F38E6"/>
    <w:rsid w:val="001F5771"/>
    <w:rsid w:val="00203D08"/>
    <w:rsid w:val="0021027C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D4C36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4577"/>
    <w:rsid w:val="00377172"/>
    <w:rsid w:val="00382FDE"/>
    <w:rsid w:val="00383B01"/>
    <w:rsid w:val="003954FD"/>
    <w:rsid w:val="003B5F72"/>
    <w:rsid w:val="003B716D"/>
    <w:rsid w:val="003C29C8"/>
    <w:rsid w:val="003C480E"/>
    <w:rsid w:val="003C6995"/>
    <w:rsid w:val="003E0A84"/>
    <w:rsid w:val="003E3C95"/>
    <w:rsid w:val="003E7F08"/>
    <w:rsid w:val="003F7A30"/>
    <w:rsid w:val="00400D92"/>
    <w:rsid w:val="0040256B"/>
    <w:rsid w:val="004026DC"/>
    <w:rsid w:val="004032B5"/>
    <w:rsid w:val="00435824"/>
    <w:rsid w:val="0044108C"/>
    <w:rsid w:val="004460FA"/>
    <w:rsid w:val="00452F95"/>
    <w:rsid w:val="0045766B"/>
    <w:rsid w:val="0046663E"/>
    <w:rsid w:val="00480DF9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855BC"/>
    <w:rsid w:val="00594533"/>
    <w:rsid w:val="00594EC5"/>
    <w:rsid w:val="005B6EC9"/>
    <w:rsid w:val="005C494D"/>
    <w:rsid w:val="005E2BC7"/>
    <w:rsid w:val="005E33C2"/>
    <w:rsid w:val="005F354B"/>
    <w:rsid w:val="0061647F"/>
    <w:rsid w:val="0062013C"/>
    <w:rsid w:val="00621259"/>
    <w:rsid w:val="00633A40"/>
    <w:rsid w:val="006345DB"/>
    <w:rsid w:val="00635546"/>
    <w:rsid w:val="006428AE"/>
    <w:rsid w:val="00647B17"/>
    <w:rsid w:val="00647BC9"/>
    <w:rsid w:val="00681C62"/>
    <w:rsid w:val="00686E2E"/>
    <w:rsid w:val="00690282"/>
    <w:rsid w:val="00690DDD"/>
    <w:rsid w:val="0069348C"/>
    <w:rsid w:val="006942FA"/>
    <w:rsid w:val="00697754"/>
    <w:rsid w:val="006B1C36"/>
    <w:rsid w:val="006C02C8"/>
    <w:rsid w:val="006C4D75"/>
    <w:rsid w:val="006D3ACD"/>
    <w:rsid w:val="006D7859"/>
    <w:rsid w:val="006E49B4"/>
    <w:rsid w:val="006F5EBD"/>
    <w:rsid w:val="0070716A"/>
    <w:rsid w:val="00730F95"/>
    <w:rsid w:val="007608E5"/>
    <w:rsid w:val="00761A4E"/>
    <w:rsid w:val="00773281"/>
    <w:rsid w:val="00780762"/>
    <w:rsid w:val="00781DB0"/>
    <w:rsid w:val="007827B4"/>
    <w:rsid w:val="007A0E3C"/>
    <w:rsid w:val="007B4888"/>
    <w:rsid w:val="007C1585"/>
    <w:rsid w:val="007D1F38"/>
    <w:rsid w:val="007D23A0"/>
    <w:rsid w:val="007F1256"/>
    <w:rsid w:val="007F31C8"/>
    <w:rsid w:val="007F5896"/>
    <w:rsid w:val="007F6879"/>
    <w:rsid w:val="00803E39"/>
    <w:rsid w:val="00812681"/>
    <w:rsid w:val="0083500A"/>
    <w:rsid w:val="008413F6"/>
    <w:rsid w:val="008430CE"/>
    <w:rsid w:val="00847765"/>
    <w:rsid w:val="008519AE"/>
    <w:rsid w:val="0087084D"/>
    <w:rsid w:val="0087278A"/>
    <w:rsid w:val="008929D6"/>
    <w:rsid w:val="008B4943"/>
    <w:rsid w:val="008C0588"/>
    <w:rsid w:val="008C31E5"/>
    <w:rsid w:val="008C3D40"/>
    <w:rsid w:val="008C6590"/>
    <w:rsid w:val="008D2D5D"/>
    <w:rsid w:val="008D3963"/>
    <w:rsid w:val="008D552F"/>
    <w:rsid w:val="008E6527"/>
    <w:rsid w:val="008F4327"/>
    <w:rsid w:val="009057AB"/>
    <w:rsid w:val="0092114D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7070"/>
    <w:rsid w:val="00A15A31"/>
    <w:rsid w:val="00A25AAA"/>
    <w:rsid w:val="00A32ED1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A717D"/>
    <w:rsid w:val="00AB2B7E"/>
    <w:rsid w:val="00AC6AF5"/>
    <w:rsid w:val="00AD0659"/>
    <w:rsid w:val="00AD0C49"/>
    <w:rsid w:val="00AE28EC"/>
    <w:rsid w:val="00AE7AA1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A03B6"/>
    <w:rsid w:val="00BA5C9D"/>
    <w:rsid w:val="00BB0276"/>
    <w:rsid w:val="00BB20BA"/>
    <w:rsid w:val="00BC4BBD"/>
    <w:rsid w:val="00BE0D11"/>
    <w:rsid w:val="00BE2F30"/>
    <w:rsid w:val="00BF0579"/>
    <w:rsid w:val="00BF7EF3"/>
    <w:rsid w:val="00C04FC5"/>
    <w:rsid w:val="00C2329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401FE"/>
    <w:rsid w:val="00D65376"/>
    <w:rsid w:val="00D66F52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2AE1"/>
    <w:rsid w:val="00DD3C16"/>
    <w:rsid w:val="00DD41FB"/>
    <w:rsid w:val="00DD6447"/>
    <w:rsid w:val="00DE6AFE"/>
    <w:rsid w:val="00DE7C93"/>
    <w:rsid w:val="00DF0D9C"/>
    <w:rsid w:val="00DF32ED"/>
    <w:rsid w:val="00E01F27"/>
    <w:rsid w:val="00E133BD"/>
    <w:rsid w:val="00E21A52"/>
    <w:rsid w:val="00E264ED"/>
    <w:rsid w:val="00E30AF3"/>
    <w:rsid w:val="00E57AF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55D4"/>
    <w:rsid w:val="00F6387F"/>
    <w:rsid w:val="00F66D27"/>
    <w:rsid w:val="00F921E6"/>
    <w:rsid w:val="00F95803"/>
    <w:rsid w:val="00FA2FFC"/>
    <w:rsid w:val="00FD4351"/>
    <w:rsid w:val="00FD44C4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432DE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B5680-0C9D-4D05-A024-BDA633E3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3036</Words>
  <Characters>24624</Characters>
  <Application>Microsoft Office Word</Application>
  <DocSecurity>0</DocSecurity>
  <Lines>378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27453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Ilona Zibzibadze</cp:lastModifiedBy>
  <cp:revision>5</cp:revision>
  <dcterms:created xsi:type="dcterms:W3CDTF">2025-12-15T09:56:00Z</dcterms:created>
  <dcterms:modified xsi:type="dcterms:W3CDTF">2026-01-14T08:59:00Z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