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E1DB" w14:textId="77777777" w:rsidR="00105F22" w:rsidRPr="004B560B" w:rsidRDefault="00034D0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ვამტკიცებ:</w:t>
      </w:r>
    </w:p>
    <w:p w14:paraId="75C8811F" w14:textId="2E1894D6" w:rsidR="00034D06" w:rsidRPr="004B560B" w:rsidRDefault="00161760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</w:t>
      </w:r>
      <w:r w:rsidR="00D34D2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34D2C" w:rsidRPr="004B560B">
        <w:rPr>
          <w:rFonts w:ascii="Sylfaen" w:hAnsi="Sylfaen"/>
          <w:b/>
          <w:sz w:val="24"/>
          <w:szCs w:val="24"/>
          <w:lang w:val="ka-GE"/>
        </w:rPr>
        <w:t>„</w:t>
      </w:r>
      <w:r>
        <w:rPr>
          <w:rFonts w:ascii="Sylfaen" w:hAnsi="Sylfaen"/>
          <w:b/>
          <w:sz w:val="24"/>
          <w:szCs w:val="24"/>
        </w:rPr>
        <w:t xml:space="preserve">RMG </w:t>
      </w:r>
      <w:r w:rsidR="0088212F">
        <w:rPr>
          <w:rFonts w:ascii="Sylfaen" w:hAnsi="Sylfaen"/>
          <w:b/>
          <w:sz w:val="24"/>
          <w:szCs w:val="24"/>
        </w:rPr>
        <w:t>Gold</w:t>
      </w:r>
      <w:r w:rsidR="00D34D2C" w:rsidRPr="004B560B">
        <w:rPr>
          <w:rFonts w:ascii="Sylfaen" w:hAnsi="Sylfaen"/>
          <w:b/>
          <w:sz w:val="24"/>
          <w:szCs w:val="24"/>
          <w:lang w:val="ka-GE"/>
        </w:rPr>
        <w:t>-ის</w:t>
      </w:r>
      <w:r w:rsidR="00D34D2C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034D06" w:rsidRPr="004B560B">
        <w:rPr>
          <w:rFonts w:ascii="Sylfaen" w:hAnsi="Sylfaen"/>
          <w:b/>
          <w:sz w:val="24"/>
          <w:szCs w:val="24"/>
          <w:lang w:val="ka-GE"/>
        </w:rPr>
        <w:t>აღმასრულებელი დირექტორი</w:t>
      </w:r>
    </w:p>
    <w:p w14:paraId="280E780D" w14:textId="659485FC" w:rsidR="00034D06" w:rsidRPr="004B560B" w:rsidRDefault="00034D0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_______________</w:t>
      </w:r>
      <w:r w:rsidR="00E87D17">
        <w:rPr>
          <w:rFonts w:ascii="Sylfaen" w:hAnsi="Sylfaen"/>
          <w:b/>
          <w:sz w:val="24"/>
          <w:szCs w:val="24"/>
          <w:lang w:val="ka-GE"/>
        </w:rPr>
        <w:t>ჯ</w:t>
      </w:r>
      <w:r w:rsidR="003F663E">
        <w:rPr>
          <w:rFonts w:ascii="Sylfaen" w:hAnsi="Sylfaen"/>
          <w:b/>
          <w:sz w:val="24"/>
          <w:szCs w:val="24"/>
          <w:lang w:val="ka-GE"/>
        </w:rPr>
        <w:t>. შუბითიძე</w:t>
      </w:r>
    </w:p>
    <w:p w14:paraId="4E2052E1" w14:textId="297E3DC4" w:rsidR="00034D06" w:rsidRPr="004B560B" w:rsidRDefault="003F663E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„______“ ______________202</w:t>
      </w:r>
      <w:r w:rsidR="009F76A7">
        <w:rPr>
          <w:rFonts w:ascii="Sylfaen" w:hAnsi="Sylfaen"/>
          <w:b/>
          <w:sz w:val="24"/>
          <w:szCs w:val="24"/>
          <w:lang w:val="ka-GE"/>
        </w:rPr>
        <w:t>6</w:t>
      </w:r>
      <w:bookmarkStart w:id="0" w:name="_GoBack"/>
      <w:bookmarkEnd w:id="0"/>
      <w:r w:rsidR="00AE67A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4D06" w:rsidRPr="004B560B">
        <w:rPr>
          <w:rFonts w:ascii="Sylfaen" w:hAnsi="Sylfaen"/>
          <w:b/>
          <w:sz w:val="24"/>
          <w:szCs w:val="24"/>
          <w:lang w:val="ka-GE"/>
        </w:rPr>
        <w:t>წ.</w:t>
      </w:r>
    </w:p>
    <w:p w14:paraId="49185881" w14:textId="77777777" w:rsidR="00CA5335" w:rsidRPr="004B560B" w:rsidRDefault="00CA5335" w:rsidP="00621B3F">
      <w:pPr>
        <w:rPr>
          <w:rFonts w:ascii="Sylfaen" w:hAnsi="Sylfaen"/>
          <w:b/>
          <w:sz w:val="24"/>
          <w:szCs w:val="24"/>
          <w:lang w:val="ka-GE"/>
        </w:rPr>
      </w:pPr>
    </w:p>
    <w:p w14:paraId="460833BD" w14:textId="77777777" w:rsidR="00CA5335" w:rsidRPr="004B560B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65B87341" w14:textId="43777D7C" w:rsidR="0028225B" w:rsidRPr="004B560B" w:rsidRDefault="0028225B" w:rsidP="0028225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გეოტექნიკური საველე და ლაბორატორიული კვლევები </w:t>
      </w:r>
      <w:r w:rsidR="00E04D7B">
        <w:rPr>
          <w:rFonts w:ascii="Sylfaen" w:hAnsi="Sylfaen"/>
          <w:b/>
          <w:sz w:val="24"/>
          <w:szCs w:val="24"/>
          <w:lang w:val="ka-GE"/>
        </w:rPr>
        <w:t>რეზერვუარების</w:t>
      </w:r>
      <w:r w:rsidR="00DB07CB">
        <w:rPr>
          <w:rFonts w:ascii="Sylfaen" w:hAnsi="Sylfaen"/>
          <w:b/>
          <w:sz w:val="24"/>
          <w:szCs w:val="24"/>
          <w:lang w:val="ka-GE"/>
        </w:rPr>
        <w:t xml:space="preserve"> განთავსების</w:t>
      </w:r>
      <w:r w:rsidR="0044540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D68A4">
        <w:rPr>
          <w:rFonts w:ascii="Sylfaen" w:hAnsi="Sylfaen"/>
          <w:b/>
          <w:sz w:val="24"/>
          <w:szCs w:val="24"/>
          <w:lang w:val="ka-GE"/>
        </w:rPr>
        <w:t xml:space="preserve">ფუნდამენტის სანჟინრო-გეოლოგიური პირობების შესასწავლად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672D735D" w14:textId="77777777" w:rsidTr="004552AB">
        <w:tc>
          <w:tcPr>
            <w:tcW w:w="709" w:type="dxa"/>
            <w:shd w:val="clear" w:color="auto" w:fill="auto"/>
            <w:vAlign w:val="center"/>
          </w:tcPr>
          <w:p w14:paraId="2EF5CD2E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6CD2066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660B5DC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298B2C74" w14:textId="77777777" w:rsidTr="004552AB">
        <w:tc>
          <w:tcPr>
            <w:tcW w:w="709" w:type="dxa"/>
            <w:shd w:val="clear" w:color="auto" w:fill="auto"/>
          </w:tcPr>
          <w:p w14:paraId="55AFAAB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4F346EC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1562">
              <w:rPr>
                <w:rFonts w:ascii="Sylfaen" w:hAnsi="Sylfaen"/>
                <w:b/>
              </w:rPr>
              <w:t>ზოგადი</w:t>
            </w:r>
            <w:proofErr w:type="spellEnd"/>
            <w:r w:rsidRPr="009C1562">
              <w:rPr>
                <w:rFonts w:ascii="Sylfaen" w:hAnsi="Sylfaen"/>
                <w:b/>
              </w:rPr>
              <w:t xml:space="preserve"> </w:t>
            </w:r>
            <w:proofErr w:type="spellStart"/>
            <w:r w:rsidRPr="009C1562">
              <w:rPr>
                <w:rFonts w:ascii="Sylfaen" w:hAnsi="Sylfaen"/>
                <w:b/>
              </w:rPr>
              <w:t>ინფორმაცია</w:t>
            </w:r>
            <w:proofErr w:type="spellEnd"/>
          </w:p>
        </w:tc>
      </w:tr>
      <w:tr w:rsidR="008E3EF1" w:rsidRPr="00D736BA" w14:paraId="22CF5DA0" w14:textId="77777777" w:rsidTr="004552AB">
        <w:tc>
          <w:tcPr>
            <w:tcW w:w="709" w:type="dxa"/>
            <w:shd w:val="clear" w:color="auto" w:fill="auto"/>
            <w:vAlign w:val="center"/>
          </w:tcPr>
          <w:p w14:paraId="5B35154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E7E85BC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6DD4C91" w14:textId="68C8158A" w:rsidR="008E3EF1" w:rsidRPr="002E0A27" w:rsidRDefault="007120EE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შპს</w:t>
            </w:r>
            <w:r w:rsidR="008E3EF1">
              <w:rPr>
                <w:rFonts w:ascii="Sylfaen" w:hAnsi="Sylfaen"/>
              </w:rPr>
              <w:t xml:space="preserve"> </w:t>
            </w:r>
            <w:r w:rsidR="008E3EF1">
              <w:rPr>
                <w:rFonts w:ascii="Sylfaen" w:hAnsi="Sylfaen"/>
                <w:lang w:val="ka-GE"/>
              </w:rPr>
              <w:t>„</w:t>
            </w:r>
            <w:r w:rsidR="008E3EF1" w:rsidRPr="002E0A27">
              <w:rPr>
                <w:rFonts w:ascii="Sylfaen" w:hAnsi="Sylfaen"/>
              </w:rPr>
              <w:t xml:space="preserve">RMG </w:t>
            </w:r>
            <w:r w:rsidR="0088212F">
              <w:rPr>
                <w:rFonts w:ascii="Sylfaen" w:hAnsi="Sylfaen"/>
              </w:rPr>
              <w:t>Gold</w:t>
            </w:r>
            <w:r w:rsidR="008E3EF1" w:rsidRPr="004848C1">
              <w:rPr>
                <w:rFonts w:ascii="Sylfaen" w:hAnsi="Sylfaen"/>
                <w:lang w:val="ka-GE"/>
              </w:rPr>
              <w:t>“</w:t>
            </w:r>
            <w:r w:rsidR="008E3EF1"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3406CACD" w14:textId="77777777" w:rsidTr="004552AB">
        <w:tc>
          <w:tcPr>
            <w:tcW w:w="709" w:type="dxa"/>
            <w:shd w:val="clear" w:color="auto" w:fill="auto"/>
            <w:vAlign w:val="center"/>
          </w:tcPr>
          <w:p w14:paraId="08477BD9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966FA9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A75222" w14:textId="066C6165" w:rsidR="008E3EF1" w:rsidRPr="00A91048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E3EF1" w:rsidRPr="00D736BA" w14:paraId="12AFB6A9" w14:textId="77777777" w:rsidTr="004552AB">
        <w:tc>
          <w:tcPr>
            <w:tcW w:w="709" w:type="dxa"/>
            <w:shd w:val="clear" w:color="auto" w:fill="auto"/>
            <w:vAlign w:val="center"/>
          </w:tcPr>
          <w:p w14:paraId="039EFC42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5402508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8D9481A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3FDC81D1" w14:textId="77777777" w:rsidTr="004552AB">
        <w:tc>
          <w:tcPr>
            <w:tcW w:w="709" w:type="dxa"/>
            <w:shd w:val="clear" w:color="auto" w:fill="auto"/>
            <w:vAlign w:val="center"/>
          </w:tcPr>
          <w:p w14:paraId="79FF211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BA69726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101746E" w14:textId="2F55EAC5" w:rsidR="008E3EF1" w:rsidRPr="00F11536" w:rsidRDefault="0028225B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 </w:t>
            </w:r>
            <w:r>
              <w:rPr>
                <w:rFonts w:ascii="Sylfaen" w:hAnsi="Sylfaen"/>
              </w:rPr>
              <w:t xml:space="preserve">RMG </w:t>
            </w:r>
            <w:r w:rsidR="00E04D7B">
              <w:rPr>
                <w:rFonts w:ascii="Sylfaen" w:hAnsi="Sylfaen"/>
              </w:rPr>
              <w:t>Gold</w:t>
            </w:r>
            <w:r w:rsidR="00F11536">
              <w:rPr>
                <w:rFonts w:ascii="Sylfaen" w:hAnsi="Sylfaen"/>
              </w:rPr>
              <w:t>-</w:t>
            </w:r>
            <w:r w:rsidR="00F11536">
              <w:rPr>
                <w:rFonts w:ascii="Sylfaen" w:hAnsi="Sylfaen"/>
                <w:lang w:val="ka-GE"/>
              </w:rPr>
              <w:t>ის საწარმოო ტერიტორია</w:t>
            </w:r>
          </w:p>
        </w:tc>
      </w:tr>
      <w:tr w:rsidR="008E3EF1" w:rsidRPr="00D736BA" w14:paraId="15AF3E8C" w14:textId="77777777" w:rsidTr="004552AB">
        <w:tc>
          <w:tcPr>
            <w:tcW w:w="709" w:type="dxa"/>
            <w:shd w:val="clear" w:color="auto" w:fill="auto"/>
            <w:vAlign w:val="center"/>
          </w:tcPr>
          <w:p w14:paraId="096D114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83DCA22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  <w:shd w:val="clear" w:color="auto" w:fill="auto"/>
          </w:tcPr>
          <w:p w14:paraId="35804A4D" w14:textId="5581C625" w:rsidR="008E3EF1" w:rsidRPr="00463327" w:rsidRDefault="008E3EF1" w:rsidP="0028225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საქართველო, </w:t>
            </w:r>
            <w:r w:rsidR="00F11536">
              <w:rPr>
                <w:rFonts w:ascii="Sylfaen" w:hAnsi="Sylfaen"/>
                <w:lang w:val="ka-GE"/>
              </w:rPr>
              <w:t xml:space="preserve">ბოლნისის </w:t>
            </w:r>
            <w:r w:rsidR="00E04D7B">
              <w:rPr>
                <w:rFonts w:ascii="Sylfaen" w:hAnsi="Sylfaen"/>
                <w:lang w:val="ka-GE"/>
              </w:rPr>
              <w:t xml:space="preserve">და დმანისის </w:t>
            </w:r>
            <w:r w:rsidR="0028225B">
              <w:rPr>
                <w:rFonts w:ascii="Sylfaen" w:hAnsi="Sylfaen"/>
                <w:lang w:val="ka-GE"/>
              </w:rPr>
              <w:t>მუნიციპალიტეტ</w:t>
            </w:r>
            <w:r w:rsidR="00E04D7B">
              <w:rPr>
                <w:rFonts w:ascii="Sylfaen" w:hAnsi="Sylfaen"/>
                <w:lang w:val="ka-GE"/>
              </w:rPr>
              <w:t>ები</w:t>
            </w:r>
          </w:p>
        </w:tc>
      </w:tr>
      <w:tr w:rsidR="008E3EF1" w:rsidRPr="00D533A1" w14:paraId="789162B7" w14:textId="77777777" w:rsidTr="004552AB">
        <w:tc>
          <w:tcPr>
            <w:tcW w:w="709" w:type="dxa"/>
            <w:shd w:val="clear" w:color="auto" w:fill="auto"/>
            <w:vAlign w:val="center"/>
          </w:tcPr>
          <w:p w14:paraId="7EFF3AC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07ECDCB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პროექტის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3BA9B4FF" w14:textId="0350EE12" w:rsidR="008E3EF1" w:rsidRPr="0088212F" w:rsidRDefault="0088212F" w:rsidP="0088212F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8212F">
              <w:rPr>
                <w:rFonts w:ascii="Sylfaen" w:hAnsi="Sylfaen"/>
                <w:b/>
                <w:lang w:val="ka-GE"/>
              </w:rPr>
              <w:t xml:space="preserve">გეოტექნიკური საველე და ლაბორატორიული კვლევები </w:t>
            </w:r>
            <w:r w:rsidR="00E04D7B">
              <w:rPr>
                <w:rFonts w:ascii="Sylfaen" w:hAnsi="Sylfaen"/>
                <w:b/>
                <w:lang w:val="ka-GE"/>
              </w:rPr>
              <w:t xml:space="preserve">რეზერვუარების (ორი რეზერვუარი) </w:t>
            </w:r>
            <w:r w:rsidRPr="0088212F">
              <w:rPr>
                <w:rFonts w:ascii="Sylfaen" w:hAnsi="Sylfaen"/>
                <w:b/>
                <w:lang w:val="ka-GE"/>
              </w:rPr>
              <w:t xml:space="preserve">განთავსების ფუნდამენტის სანჟინრო-გეოლოგიური პირობების შესასწავლად </w:t>
            </w:r>
          </w:p>
        </w:tc>
      </w:tr>
      <w:tr w:rsidR="008E3EF1" w:rsidRPr="00D533A1" w14:paraId="03D30279" w14:textId="77777777" w:rsidTr="004552AB">
        <w:tc>
          <w:tcPr>
            <w:tcW w:w="709" w:type="dxa"/>
            <w:shd w:val="clear" w:color="auto" w:fill="auto"/>
            <w:vAlign w:val="center"/>
          </w:tcPr>
          <w:p w14:paraId="7C84FCA4" w14:textId="77777777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DD0AA7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060E45F" w14:textId="2CB301F3" w:rsidR="00E04D7B" w:rsidRPr="00E04D7B" w:rsidRDefault="00E04D7B" w:rsidP="004552AB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b/>
                <w:szCs w:val="24"/>
                <w:lang w:val="ka-GE"/>
              </w:rPr>
              <w:t>რეზერვუარების</w:t>
            </w:r>
            <w:r w:rsidR="0002478A">
              <w:rPr>
                <w:rFonts w:ascii="Sylfaen" w:hAnsi="Sylfaen"/>
                <w:b/>
                <w:szCs w:val="24"/>
                <w:lang w:val="ka-GE"/>
              </w:rPr>
              <w:t xml:space="preserve"> </w:t>
            </w:r>
            <w:r w:rsidR="006A2B96">
              <w:rPr>
                <w:rFonts w:ascii="Sylfaen" w:hAnsi="Sylfaen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Cs w:val="24"/>
                <w:lang w:val="ka-GE"/>
              </w:rPr>
              <w:t xml:space="preserve">(ორი რეზერვუარი) </w:t>
            </w:r>
            <w:r w:rsidR="006A2B96">
              <w:rPr>
                <w:rFonts w:ascii="Sylfaen" w:hAnsi="Sylfaen"/>
                <w:szCs w:val="24"/>
                <w:lang w:val="ka-GE"/>
              </w:rPr>
              <w:t xml:space="preserve">განთავსების </w:t>
            </w:r>
            <w:r w:rsidR="003E2A0D">
              <w:rPr>
                <w:rFonts w:ascii="Sylfaen" w:hAnsi="Sylfaen"/>
                <w:szCs w:val="24"/>
                <w:lang w:val="ka-GE"/>
              </w:rPr>
              <w:t xml:space="preserve">ტერიტორიის </w:t>
            </w:r>
            <w:r w:rsidR="006A2B96">
              <w:rPr>
                <w:rFonts w:ascii="Sylfaen" w:hAnsi="Sylfaen"/>
                <w:szCs w:val="24"/>
                <w:lang w:val="ka-GE"/>
              </w:rPr>
              <w:t xml:space="preserve">გეოტექნიკური შესწავლის ფარგლებში </w:t>
            </w:r>
            <w:r w:rsidR="0060186F">
              <w:rPr>
                <w:rFonts w:ascii="Sylfaen" w:hAnsi="Sylfaen"/>
                <w:szCs w:val="24"/>
                <w:lang w:val="ka-GE"/>
              </w:rPr>
              <w:t xml:space="preserve">უნდა შესრულდეს </w:t>
            </w:r>
            <w:r w:rsidR="003E2A0D">
              <w:rPr>
                <w:rFonts w:ascii="Sylfaen" w:hAnsi="Sylfaen"/>
                <w:szCs w:val="24"/>
                <w:lang w:val="ka-GE"/>
              </w:rPr>
              <w:t>შემდეგი საველე და</w:t>
            </w:r>
            <w:r>
              <w:rPr>
                <w:rFonts w:ascii="Sylfaen" w:hAnsi="Sylfaen"/>
                <w:szCs w:val="24"/>
                <w:lang w:val="ka-GE"/>
              </w:rPr>
              <w:t xml:space="preserve"> ლაბორატორიული</w:t>
            </w:r>
            <w:r w:rsidR="003E2A0D">
              <w:rPr>
                <w:rFonts w:ascii="Sylfaen" w:hAnsi="Sylfaen"/>
                <w:szCs w:val="24"/>
                <w:lang w:val="ka-GE"/>
              </w:rPr>
              <w:t xml:space="preserve"> სამუშაოები:</w:t>
            </w:r>
          </w:p>
          <w:p w14:paraId="22B0BC7D" w14:textId="1667DBC8" w:rsidR="00AD59B0" w:rsidRDefault="00AD59B0" w:rsidP="00AD59B0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გეოტექნიკური საველე </w:t>
            </w:r>
            <w:r w:rsidR="00826A3B">
              <w:rPr>
                <w:rFonts w:ascii="Sylfaen" w:hAnsi="Sylfaen"/>
                <w:szCs w:val="24"/>
                <w:lang w:val="ka-GE"/>
              </w:rPr>
              <w:t>პროგრამის</w:t>
            </w:r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88212F">
              <w:rPr>
                <w:rFonts w:ascii="Sylfaen" w:hAnsi="Sylfaen"/>
                <w:szCs w:val="24"/>
                <w:lang w:val="ka-GE"/>
              </w:rPr>
              <w:t xml:space="preserve">მიზანია </w:t>
            </w:r>
            <w:r w:rsidR="00E04D7B">
              <w:rPr>
                <w:rFonts w:ascii="Sylfaen" w:hAnsi="Sylfaen"/>
                <w:szCs w:val="24"/>
                <w:lang w:val="ka-GE"/>
              </w:rPr>
              <w:t>რეზერვუარების</w:t>
            </w:r>
            <w:r w:rsidR="0088212F" w:rsidRPr="0088212F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C335F5" w:rsidRPr="0088212F">
              <w:rPr>
                <w:rFonts w:ascii="Sylfaen" w:hAnsi="Sylfaen"/>
                <w:szCs w:val="24"/>
                <w:lang w:val="ka-GE"/>
              </w:rPr>
              <w:t xml:space="preserve"> განთავსების</w:t>
            </w:r>
            <w:r w:rsidRPr="0088212F">
              <w:rPr>
                <w:rFonts w:ascii="Sylfaen" w:hAnsi="Sylfaen"/>
                <w:szCs w:val="24"/>
                <w:lang w:val="ka-GE"/>
              </w:rPr>
              <w:t xml:space="preserve">  უბნის ამგები</w:t>
            </w:r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940B7">
              <w:rPr>
                <w:rFonts w:ascii="Sylfaen" w:hAnsi="Sylfaen"/>
                <w:szCs w:val="24"/>
                <w:lang w:val="ka-GE"/>
              </w:rPr>
              <w:t xml:space="preserve">კლდოვანი და არაკლდოვანი გრუნტის </w:t>
            </w:r>
            <w:r>
              <w:rPr>
                <w:rFonts w:ascii="Sylfaen" w:hAnsi="Sylfaen"/>
                <w:szCs w:val="24"/>
                <w:lang w:val="ka-GE"/>
              </w:rPr>
              <w:t xml:space="preserve">მახასიათებლების შესახებ ინფორმაციის შეგროვება. </w:t>
            </w:r>
          </w:p>
          <w:p w14:paraId="29674387" w14:textId="1FD4A288" w:rsidR="00B23C0F" w:rsidRDefault="00B23C0F" w:rsidP="00AD59B0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რეზერვუარების ფუნდამენტის საინჟინრო-გეოლოგიური კვლევის შესრულება გვესაჭიროება ორივე რეზერვუარისათვის ცალ-ცალკე, თუმცა, რადგანაც ისინი მდებარეობენ ერთმანეთის მომიჯ</w:t>
            </w:r>
            <w:r w:rsidR="00E36D2C">
              <w:rPr>
                <w:rFonts w:ascii="Sylfaen" w:hAnsi="Sylfaen"/>
                <w:szCs w:val="24"/>
                <w:lang w:val="ka-GE"/>
              </w:rPr>
              <w:t>ნ</w:t>
            </w:r>
            <w:r>
              <w:rPr>
                <w:rFonts w:ascii="Sylfaen" w:hAnsi="Sylfaen"/>
                <w:szCs w:val="24"/>
                <w:lang w:val="ka-GE"/>
              </w:rPr>
              <w:t xml:space="preserve">ავედ, ამიტომ სამთო გამონამუშევრები გავანაწილეთ ისე, რომ </w:t>
            </w:r>
            <w:r w:rsidR="00E36D2C">
              <w:rPr>
                <w:rFonts w:ascii="Sylfaen" w:hAnsi="Sylfaen"/>
                <w:szCs w:val="24"/>
                <w:lang w:val="ka-GE"/>
              </w:rPr>
              <w:t xml:space="preserve">მათი </w:t>
            </w:r>
            <w:r>
              <w:rPr>
                <w:rFonts w:ascii="Sylfaen" w:hAnsi="Sylfaen"/>
                <w:szCs w:val="24"/>
                <w:lang w:val="ka-GE"/>
              </w:rPr>
              <w:t xml:space="preserve">შედეგები გამოყენებული იქნას ორივე მოედნის საინჟინრო-გეოლოგიური ჭრილის აგებაში. </w:t>
            </w:r>
          </w:p>
          <w:p w14:paraId="0696FFE8" w14:textId="7DEA08FD" w:rsidR="008270F1" w:rsidRDefault="00AD59B0" w:rsidP="008270F1">
            <w:pPr>
              <w:spacing w:after="0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გეოტექნიკური</w:t>
            </w:r>
            <w:r w:rsidR="008E3EF1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270F1">
              <w:rPr>
                <w:rFonts w:ascii="Sylfaen" w:hAnsi="Sylfaen"/>
                <w:szCs w:val="24"/>
                <w:lang w:val="ka-GE"/>
              </w:rPr>
              <w:t xml:space="preserve">შესწავლის </w:t>
            </w:r>
            <w:r w:rsidR="008E3EF1">
              <w:rPr>
                <w:rFonts w:ascii="Sylfaen" w:hAnsi="Sylfaen"/>
                <w:szCs w:val="24"/>
                <w:lang w:val="ka-GE"/>
              </w:rPr>
              <w:t>საველე ნაწილი</w:t>
            </w:r>
            <w:r w:rsidR="008270F1">
              <w:rPr>
                <w:rFonts w:ascii="Sylfaen" w:hAnsi="Sylfaen"/>
                <w:szCs w:val="24"/>
                <w:lang w:val="ka-GE"/>
              </w:rPr>
              <w:t>ს ფარგლებში</w:t>
            </w:r>
            <w:r w:rsidR="000D01D4">
              <w:rPr>
                <w:rFonts w:ascii="Sylfaen" w:hAnsi="Sylfaen"/>
                <w:szCs w:val="24"/>
                <w:lang w:val="ka-GE"/>
              </w:rPr>
              <w:t xml:space="preserve"> უნდა შესრულდეს შემდეგი ტიპის სამუშაო</w:t>
            </w:r>
            <w:r w:rsidR="008270F1">
              <w:rPr>
                <w:rFonts w:ascii="Sylfaen" w:hAnsi="Sylfaen"/>
                <w:szCs w:val="24"/>
                <w:lang w:val="ka-GE"/>
              </w:rPr>
              <w:t>ები</w:t>
            </w:r>
            <w:r w:rsidR="008E3EF1">
              <w:rPr>
                <w:rFonts w:ascii="Sylfaen" w:hAnsi="Sylfaen"/>
                <w:szCs w:val="24"/>
                <w:lang w:val="ka-GE"/>
              </w:rPr>
              <w:t>:</w:t>
            </w:r>
          </w:p>
          <w:p w14:paraId="7E50FC09" w14:textId="05E80219" w:rsidR="0074252E" w:rsidRDefault="00B23C0F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5</w:t>
            </w:r>
            <w:r w:rsidR="008270F1"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ხუთი</w:t>
            </w:r>
            <w:r w:rsidR="008270F1">
              <w:rPr>
                <w:rFonts w:ascii="Sylfaen" w:hAnsi="Sylfaen"/>
                <w:lang w:val="ka-GE"/>
              </w:rPr>
              <w:t>) ერთეული არაღრმა</w:t>
            </w:r>
            <w:r w:rsidR="0074252E">
              <w:rPr>
                <w:rFonts w:ascii="Sylfaen" w:hAnsi="Sylfaen"/>
                <w:lang w:val="ka-GE"/>
              </w:rPr>
              <w:t xml:space="preserve"> </w:t>
            </w:r>
            <w:r w:rsidR="00FC7842">
              <w:rPr>
                <w:rFonts w:ascii="Sylfaen" w:hAnsi="Sylfaen"/>
                <w:lang w:val="ka-GE"/>
              </w:rPr>
              <w:t>(1</w:t>
            </w:r>
            <w:r>
              <w:rPr>
                <w:rFonts w:ascii="Sylfaen" w:hAnsi="Sylfaen"/>
                <w:lang w:val="ka-GE"/>
              </w:rPr>
              <w:t>5</w:t>
            </w:r>
            <w:r w:rsidR="00FC7842">
              <w:rPr>
                <w:rFonts w:ascii="Sylfaen" w:hAnsi="Sylfaen"/>
                <w:lang w:val="ka-GE"/>
              </w:rPr>
              <w:t xml:space="preserve"> მეტრი) </w:t>
            </w:r>
            <w:r w:rsidR="0074252E">
              <w:rPr>
                <w:rFonts w:ascii="Sylfaen" w:hAnsi="Sylfaen"/>
                <w:lang w:val="ka-GE"/>
              </w:rPr>
              <w:t xml:space="preserve">ჭაბურღილის ბურღვა </w:t>
            </w:r>
            <w:r w:rsidR="00B34C70">
              <w:rPr>
                <w:rFonts w:ascii="Sylfaen" w:hAnsi="Sylfaen"/>
                <w:lang w:val="ka-GE"/>
              </w:rPr>
              <w:t xml:space="preserve">უშუალოდ </w:t>
            </w:r>
            <w:r w:rsidR="00FC7842">
              <w:rPr>
                <w:rFonts w:ascii="Sylfaen" w:hAnsi="Sylfaen"/>
                <w:lang w:val="ka-GE"/>
              </w:rPr>
              <w:t xml:space="preserve">ბეტონის კვანძის </w:t>
            </w:r>
            <w:r w:rsidR="0002478A">
              <w:rPr>
                <w:rFonts w:ascii="Sylfaen" w:hAnsi="Sylfaen"/>
                <w:lang w:val="ka-GE"/>
              </w:rPr>
              <w:t>განთავსების ტერიტორიაზე</w:t>
            </w:r>
            <w:r w:rsidR="0088212F">
              <w:rPr>
                <w:rFonts w:ascii="Sylfaen" w:hAnsi="Sylfaen"/>
                <w:lang w:val="ka-GE"/>
              </w:rPr>
              <w:t>;</w:t>
            </w:r>
          </w:p>
          <w:p w14:paraId="30A52DAA" w14:textId="0969AD01" w:rsidR="00BB0E25" w:rsidRPr="00BB0E25" w:rsidRDefault="00BB0E25" w:rsidP="00BB0E2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კლდოვან გრუნტში ბურღვა უნდა შესრულდეს ორმაგი მილის გამოყენებით, კერნის უწყვეტი ამოღებით, ბურღვის დიამეტრი - </w:t>
            </w:r>
            <w:r>
              <w:rPr>
                <w:rFonts w:ascii="Sylfaen" w:hAnsi="Sylfaen"/>
                <w:bCs/>
                <w:szCs w:val="24"/>
              </w:rPr>
              <w:t>PQ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szCs w:val="24"/>
              </w:rPr>
              <w:t>HQ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 და </w:t>
            </w:r>
            <w:r>
              <w:rPr>
                <w:rFonts w:ascii="Sylfaen" w:hAnsi="Sylfaen"/>
                <w:bCs/>
                <w:szCs w:val="24"/>
              </w:rPr>
              <w:t>NQ;</w:t>
            </w:r>
          </w:p>
          <w:p w14:paraId="35F93874" w14:textId="54C6758C" w:rsidR="0074252E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ჭაბურღილების შესახებ </w:t>
            </w:r>
            <w:r w:rsidR="00135FE4">
              <w:rPr>
                <w:rFonts w:ascii="Sylfaen" w:hAnsi="Sylfaen"/>
                <w:lang w:val="ka-GE"/>
              </w:rPr>
              <w:t xml:space="preserve">დეტალური ინფორმაცია </w:t>
            </w:r>
            <w:r w:rsidR="00B34C70">
              <w:rPr>
                <w:rFonts w:ascii="Sylfaen" w:hAnsi="Sylfaen"/>
                <w:lang w:val="ka-GE"/>
              </w:rPr>
              <w:t xml:space="preserve">(საპროექტო სიღრმეები, კოორდინატები და ა.შ) </w:t>
            </w:r>
            <w:r>
              <w:rPr>
                <w:rFonts w:ascii="Sylfaen" w:hAnsi="Sylfaen"/>
                <w:lang w:val="ka-GE"/>
              </w:rPr>
              <w:t>მოცემულია</w:t>
            </w:r>
            <w:r w:rsidR="0090331A">
              <w:rPr>
                <w:rFonts w:ascii="Sylfaen" w:hAnsi="Sylfaen"/>
                <w:lang w:val="ka-GE"/>
              </w:rPr>
              <w:t xml:space="preserve"> დანართის სახით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4AC1FC98" w14:textId="0F043E4B" w:rsidR="008E3EF1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</w:t>
            </w:r>
            <w:r w:rsidR="0090331A">
              <w:rPr>
                <w:rFonts w:ascii="Sylfaen" w:hAnsi="Sylfaen"/>
                <w:lang w:val="ka-GE"/>
              </w:rPr>
              <w:t xml:space="preserve">აბურღილების </w:t>
            </w:r>
            <w:r>
              <w:rPr>
                <w:rFonts w:ascii="Sylfaen" w:hAnsi="Sylfaen"/>
                <w:lang w:val="ka-GE"/>
              </w:rPr>
              <w:t xml:space="preserve">საბოლოო ფაქტობრივი სიღრმეები </w:t>
            </w:r>
            <w:r w:rsidR="00184445">
              <w:rPr>
                <w:rFonts w:ascii="Sylfaen" w:hAnsi="Sylfaen"/>
                <w:lang w:val="ka-GE"/>
              </w:rPr>
              <w:t>დადგინდება სამუშაო პროცესში, ლითოლოგიური ჭრილის</w:t>
            </w:r>
            <w:r w:rsidR="00B34C70">
              <w:rPr>
                <w:rFonts w:ascii="Sylfaen" w:hAnsi="Sylfaen"/>
                <w:lang w:val="ka-GE"/>
              </w:rPr>
              <w:t xml:space="preserve"> </w:t>
            </w:r>
            <w:r w:rsidR="00184445">
              <w:rPr>
                <w:rFonts w:ascii="Sylfaen" w:hAnsi="Sylfaen"/>
                <w:lang w:val="ka-GE"/>
              </w:rPr>
              <w:t>გათვალისწინებით</w:t>
            </w:r>
            <w:r w:rsidR="0090331A">
              <w:rPr>
                <w:rFonts w:ascii="Sylfaen" w:hAnsi="Sylfaen"/>
                <w:lang w:val="ka-GE"/>
              </w:rPr>
              <w:t>,</w:t>
            </w:r>
            <w:r w:rsidR="00184445">
              <w:rPr>
                <w:rFonts w:ascii="Sylfaen" w:hAnsi="Sylfaen"/>
                <w:lang w:val="ka-GE"/>
              </w:rPr>
              <w:t xml:space="preserve"> დამკვეთთან შეთანხმები</w:t>
            </w:r>
            <w:r w:rsidR="00135FE4">
              <w:rPr>
                <w:rFonts w:ascii="Sylfaen" w:hAnsi="Sylfaen"/>
                <w:lang w:val="ka-GE"/>
              </w:rPr>
              <w:t>ს საფუძველზე</w:t>
            </w:r>
            <w:r w:rsidR="00184445">
              <w:rPr>
                <w:rFonts w:ascii="Sylfaen" w:hAnsi="Sylfaen"/>
                <w:lang w:val="ka-GE"/>
              </w:rPr>
              <w:t>;</w:t>
            </w:r>
          </w:p>
          <w:p w14:paraId="39581965" w14:textId="24D31135" w:rsidR="005B70FE" w:rsidRPr="005B70FE" w:rsidRDefault="005B70F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ლაბორატორიული ცდების ჩამონათვალი მოცემულია ლაბორატორიული დავალების ფორმაში.</w:t>
            </w:r>
          </w:p>
        </w:tc>
      </w:tr>
      <w:tr w:rsidR="008E3EF1" w:rsidRPr="00D736BA" w14:paraId="0B2BDA81" w14:textId="77777777" w:rsidTr="004552AB">
        <w:tc>
          <w:tcPr>
            <w:tcW w:w="709" w:type="dxa"/>
            <w:shd w:val="clear" w:color="auto" w:fill="auto"/>
            <w:vAlign w:val="center"/>
          </w:tcPr>
          <w:p w14:paraId="51129A1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1AD94A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5BEB3498" w14:textId="77777777" w:rsidTr="004552AB">
        <w:tc>
          <w:tcPr>
            <w:tcW w:w="709" w:type="dxa"/>
            <w:shd w:val="clear" w:color="auto" w:fill="auto"/>
            <w:vAlign w:val="center"/>
          </w:tcPr>
          <w:p w14:paraId="2C6A3D90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2C887B8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proofErr w:type="spellStart"/>
            <w:r>
              <w:rPr>
                <w:rFonts w:ascii="Sylfaen" w:hAnsi="Sylfaen"/>
              </w:rPr>
              <w:t>საწყისი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მონაცემები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620B5F7B" w14:textId="25AE4186" w:rsidR="008E3EF1" w:rsidRPr="00146CF9" w:rsidRDefault="00A30448" w:rsidP="00146CF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</w:t>
            </w:r>
            <w:r w:rsidR="009B65D2">
              <w:rPr>
                <w:rFonts w:ascii="Sylfaen" w:hAnsi="Sylfaen"/>
                <w:lang w:val="ka-GE"/>
              </w:rPr>
              <w:t xml:space="preserve">ტოპო </w:t>
            </w:r>
            <w:r>
              <w:rPr>
                <w:rFonts w:ascii="Sylfaen" w:hAnsi="Sylfaen"/>
                <w:lang w:val="ka-GE"/>
              </w:rPr>
              <w:t>გადაღება</w:t>
            </w:r>
            <w:r w:rsidR="005B70FE">
              <w:rPr>
                <w:rFonts w:ascii="Sylfaen" w:hAnsi="Sylfaen"/>
                <w:lang w:val="ka-GE"/>
              </w:rPr>
              <w:t xml:space="preserve"> საპროექტო</w:t>
            </w:r>
            <w:r>
              <w:rPr>
                <w:rFonts w:ascii="Sylfaen" w:hAnsi="Sylfaen"/>
                <w:lang w:val="ka-GE"/>
              </w:rPr>
              <w:t xml:space="preserve"> ჭაბურღილების განლაგებით</w:t>
            </w:r>
            <w:r w:rsidR="005B70FE">
              <w:rPr>
                <w:rFonts w:ascii="Sylfaen" w:hAnsi="Sylfaen"/>
                <w:lang w:val="ka-GE"/>
              </w:rPr>
              <w:t>;</w:t>
            </w:r>
          </w:p>
          <w:p w14:paraId="695AD005" w14:textId="77777777" w:rsidR="008E3EF1" w:rsidRPr="00FC2601" w:rsidRDefault="008E3EF1" w:rsidP="005B70F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714E097C" w14:textId="77777777" w:rsidTr="004552AB">
        <w:tc>
          <w:tcPr>
            <w:tcW w:w="709" w:type="dxa"/>
            <w:shd w:val="clear" w:color="auto" w:fill="auto"/>
            <w:vAlign w:val="center"/>
          </w:tcPr>
          <w:p w14:paraId="694D90D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FB9ADD1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6F4C78D9" w14:textId="77777777" w:rsidTr="004552AB">
        <w:tc>
          <w:tcPr>
            <w:tcW w:w="709" w:type="dxa"/>
            <w:shd w:val="clear" w:color="auto" w:fill="auto"/>
            <w:vAlign w:val="center"/>
          </w:tcPr>
          <w:p w14:paraId="59CEBCB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B2B0DF3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DC31012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3C92B33" w14:textId="77777777" w:rsidTr="004552AB">
        <w:tc>
          <w:tcPr>
            <w:tcW w:w="709" w:type="dxa"/>
            <w:shd w:val="clear" w:color="auto" w:fill="auto"/>
            <w:vAlign w:val="center"/>
          </w:tcPr>
          <w:p w14:paraId="63C515D7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73" w:type="dxa"/>
            <w:shd w:val="clear" w:color="auto" w:fill="auto"/>
          </w:tcPr>
          <w:p w14:paraId="1AE3C06F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E5A284F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4DC1F7D" w14:textId="77777777" w:rsidTr="004552AB">
        <w:tc>
          <w:tcPr>
            <w:tcW w:w="709" w:type="dxa"/>
            <w:shd w:val="clear" w:color="auto" w:fill="auto"/>
            <w:vAlign w:val="center"/>
          </w:tcPr>
          <w:p w14:paraId="678B2ED3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14:paraId="619032B0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638E9">
              <w:rPr>
                <w:rFonts w:ascii="Sylfaen" w:hAnsi="Sylfaen"/>
                <w:sz w:val="22"/>
                <w:szCs w:val="22"/>
              </w:rPr>
              <w:t>მოთხოვნები გაწეული მომსახურებისა და საპროექტო დოკუმენტაციის შემადგენლობის შესახებ</w:t>
            </w:r>
          </w:p>
        </w:tc>
        <w:tc>
          <w:tcPr>
            <w:tcW w:w="6124" w:type="dxa"/>
            <w:shd w:val="clear" w:color="auto" w:fill="auto"/>
          </w:tcPr>
          <w:p w14:paraId="24D103FF" w14:textId="77777777" w:rsidR="005A793D" w:rsidRDefault="008E3EF1" w:rsidP="005B70F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მომსახურება უნდა იყოს </w:t>
            </w:r>
            <w:r w:rsidR="00FD348D" w:rsidRPr="005A793D">
              <w:rPr>
                <w:rFonts w:ascii="Sylfaen" w:hAnsi="Sylfaen"/>
                <w:lang w:val="ka-GE"/>
              </w:rPr>
              <w:t xml:space="preserve">დამკვეთის მიერ დადგენილ გრაფიკთან </w:t>
            </w:r>
            <w:r w:rsidRPr="005A793D">
              <w:rPr>
                <w:rFonts w:ascii="Sylfaen" w:hAnsi="Sylfaen"/>
                <w:lang w:val="ka-GE"/>
              </w:rPr>
              <w:t>შესაბამისობაში, ერთჯერადი მომსახურება</w:t>
            </w:r>
            <w:r w:rsidR="005A793D">
              <w:rPr>
                <w:rFonts w:ascii="Sylfaen" w:hAnsi="Sylfaen"/>
                <w:lang w:val="ka-GE"/>
              </w:rPr>
              <w:t>;</w:t>
            </w:r>
          </w:p>
          <w:p w14:paraId="27C53DAF" w14:textId="358E37EC" w:rsidR="00873DA9" w:rsidRPr="005A793D" w:rsidRDefault="00873DA9" w:rsidP="005B70F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აუცილებელია შესრულებული სამუშაოების შესახებ </w:t>
            </w:r>
            <w:r w:rsidR="008730CF">
              <w:rPr>
                <w:rFonts w:ascii="Sylfaen" w:hAnsi="Sylfaen"/>
                <w:lang w:val="ka-GE"/>
              </w:rPr>
              <w:t>საინჟინრო-გეოლოგიური</w:t>
            </w:r>
            <w:r w:rsidRPr="005A793D">
              <w:rPr>
                <w:rFonts w:ascii="Sylfaen" w:hAnsi="Sylfaen"/>
                <w:lang w:val="ka-GE"/>
              </w:rPr>
              <w:t xml:space="preserve"> ანგარიშ</w:t>
            </w:r>
            <w:r w:rsidR="00346984">
              <w:rPr>
                <w:rFonts w:ascii="Sylfaen" w:hAnsi="Sylfaen"/>
                <w:lang w:val="ka-GE"/>
              </w:rPr>
              <w:t>ები</w:t>
            </w:r>
            <w:r w:rsidRPr="005A793D">
              <w:rPr>
                <w:rFonts w:ascii="Sylfaen" w:hAnsi="Sylfaen"/>
                <w:lang w:val="ka-GE"/>
              </w:rPr>
              <w:t>ს მომზადება</w:t>
            </w:r>
            <w:r w:rsidR="008730CF">
              <w:rPr>
                <w:rFonts w:ascii="Sylfaen" w:hAnsi="Sylfaen"/>
                <w:lang w:val="ka-GE"/>
              </w:rPr>
              <w:t xml:space="preserve">, </w:t>
            </w:r>
            <w:r w:rsidR="00346984">
              <w:rPr>
                <w:rFonts w:ascii="Sylfaen" w:hAnsi="Sylfaen"/>
                <w:lang w:val="ka-GE"/>
              </w:rPr>
              <w:t xml:space="preserve">ორივე რეზერვუარის ფუნდამენტისათვის ცალ-ცალკე, </w:t>
            </w:r>
            <w:r w:rsidR="008730CF">
              <w:rPr>
                <w:rFonts w:ascii="Sylfaen" w:hAnsi="Sylfaen"/>
                <w:lang w:val="ka-GE"/>
              </w:rPr>
              <w:t>გრუნტის მზიდუნარიანობის განსაზღვრით</w:t>
            </w:r>
            <w:r w:rsidR="005B70FE" w:rsidRPr="005A793D">
              <w:rPr>
                <w:rFonts w:ascii="Sylfaen" w:hAnsi="Sylfaen"/>
                <w:lang w:val="ka-GE"/>
              </w:rPr>
              <w:t xml:space="preserve"> (</w:t>
            </w:r>
            <w:r w:rsidR="00346984">
              <w:rPr>
                <w:rFonts w:ascii="Sylfaen" w:hAnsi="Sylfaen"/>
                <w:lang w:val="ka-GE"/>
              </w:rPr>
              <w:t xml:space="preserve">ანგარიშის შედგენისას </w:t>
            </w:r>
            <w:r w:rsidR="005B70FE" w:rsidRPr="005A793D">
              <w:rPr>
                <w:rFonts w:ascii="Sylfaen" w:hAnsi="Sylfaen"/>
                <w:lang w:val="ka-GE"/>
              </w:rPr>
              <w:t xml:space="preserve">აუცილებელია </w:t>
            </w:r>
            <w:r w:rsidR="005B70FE" w:rsidRPr="005A793D">
              <w:rPr>
                <w:rFonts w:ascii="Sylfaen" w:hAnsi="Sylfaen"/>
              </w:rPr>
              <w:t xml:space="preserve">Sylfaen </w:t>
            </w:r>
            <w:r w:rsidR="005B70FE" w:rsidRPr="005A793D">
              <w:rPr>
                <w:rFonts w:ascii="Sylfaen" w:hAnsi="Sylfaen"/>
                <w:lang w:val="ka-GE"/>
              </w:rPr>
              <w:t xml:space="preserve">შრიფტის გამოყენება). </w:t>
            </w:r>
          </w:p>
        </w:tc>
      </w:tr>
      <w:tr w:rsidR="008E3EF1" w:rsidRPr="00E87EF3" w14:paraId="382B8AF5" w14:textId="77777777" w:rsidTr="004552AB">
        <w:tc>
          <w:tcPr>
            <w:tcW w:w="709" w:type="dxa"/>
            <w:shd w:val="clear" w:color="auto" w:fill="auto"/>
            <w:vAlign w:val="center"/>
          </w:tcPr>
          <w:p w14:paraId="1BB0F21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E44944D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8E9">
              <w:rPr>
                <w:rFonts w:ascii="Sylfaen" w:hAnsi="Sylfaen"/>
              </w:rPr>
              <w:t>მარეგულირებელი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დოკუმენტების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მოთხოვნები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და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განხორციელების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წესები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57FA4B67" w14:textId="77777777" w:rsidR="008E3EF1" w:rsidRPr="008E3EF1" w:rsidRDefault="001534A9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66045">
              <w:rPr>
                <w:rFonts w:ascii="Sylfaen" w:hAnsi="Sylfaen" w:cs="Sylfaen"/>
                <w:lang w:val="ru-RU"/>
              </w:rPr>
              <w:t>შეასრულოს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მოქმედი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კანონმდებლობით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მოთხოვნები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მათ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შორის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ნიადაგის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>", "</w:t>
            </w:r>
            <w:r w:rsidRPr="00266045">
              <w:rPr>
                <w:rFonts w:ascii="Sylfaen" w:hAnsi="Sylfaen" w:cs="Sylfaen"/>
                <w:lang w:val="ru-RU"/>
              </w:rPr>
              <w:t>წყლისა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ბუნებრივი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გამოყენებისათვის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გადახდის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სხვა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პირობები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კანონქვემდებარე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ნორმატიული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აქტები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მიერ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მოწოდებული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გეო</w:t>
            </w:r>
            <w:r w:rsidRPr="00266045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 w:cs="Sylfaen"/>
                <w:lang w:val="ru-RU"/>
              </w:rPr>
              <w:t>ინფორმაციული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პაკეტის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საფუძველზე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ეროვნული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No229 </w:t>
            </w:r>
            <w:r w:rsidRPr="00266045">
              <w:rPr>
                <w:rFonts w:ascii="Sylfaen" w:hAnsi="Sylfaen" w:cs="Sylfaen"/>
                <w:lang w:val="ru-RU"/>
              </w:rPr>
              <w:t>მიწისქვეშა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გამოყენებით</w:t>
            </w:r>
            <w:r w:rsidRPr="00266045">
              <w:rPr>
                <w:rFonts w:ascii="Sylfaen" w:hAnsi="Sylfaen"/>
                <w:lang w:val="ru-RU"/>
              </w:rPr>
              <w:t xml:space="preserve">. 2012 </w:t>
            </w:r>
            <w:r w:rsidRPr="00266045">
              <w:rPr>
                <w:rFonts w:ascii="Sylfaen" w:hAnsi="Sylfaen" w:cs="Sylfaen"/>
                <w:lang w:val="ru-RU"/>
              </w:rPr>
              <w:t>წლის</w:t>
            </w:r>
            <w:r w:rsidRPr="00266045">
              <w:rPr>
                <w:rFonts w:ascii="Sylfaen" w:hAnsi="Sylfaen"/>
                <w:lang w:val="ru-RU"/>
              </w:rPr>
              <w:t xml:space="preserve"> 2 </w:t>
            </w:r>
            <w:r w:rsidRPr="00266045">
              <w:rPr>
                <w:rFonts w:ascii="Sylfaen" w:hAnsi="Sylfaen" w:cs="Sylfaen"/>
                <w:lang w:val="ru-RU"/>
              </w:rPr>
              <w:t>მარტის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მინერალური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</w:t>
            </w:r>
            <w:r w:rsidRPr="00266045">
              <w:rPr>
                <w:rFonts w:ascii="Sylfaen" w:hAnsi="Sylfaen"/>
                <w:lang w:val="ru-RU"/>
              </w:rPr>
              <w:t>"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513D64A1" w14:textId="77777777" w:rsidTr="004552AB">
        <w:tc>
          <w:tcPr>
            <w:tcW w:w="709" w:type="dxa"/>
            <w:shd w:val="clear" w:color="auto" w:fill="auto"/>
            <w:vAlign w:val="center"/>
          </w:tcPr>
          <w:p w14:paraId="797E98FD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373" w:type="dxa"/>
            <w:shd w:val="clear" w:color="auto" w:fill="auto"/>
          </w:tcPr>
          <w:p w14:paraId="08C026C3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  <w:shd w:val="clear" w:color="auto" w:fill="auto"/>
          </w:tcPr>
          <w:p w14:paraId="479243BC" w14:textId="34E228FA" w:rsidR="008E3EF1" w:rsidRPr="00526870" w:rsidRDefault="008E3EF1" w:rsidP="00526870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შესაბამისი </w:t>
            </w:r>
            <w:r w:rsidR="00822BBC">
              <w:rPr>
                <w:rFonts w:ascii="Sylfaen" w:hAnsi="Sylfaen"/>
                <w:sz w:val="22"/>
                <w:szCs w:val="22"/>
                <w:lang w:val="ka-GE"/>
              </w:rPr>
              <w:t>გამოცდილება მსგავსი ტიპის საველე და ლაბორატორიული გეოტექნიკური სამუშაოების ხარისხიანად შესრულებისათვის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</w:tr>
      <w:tr w:rsidR="008E3EF1" w:rsidRPr="00D736BA" w14:paraId="1C4D050E" w14:textId="77777777" w:rsidTr="004552AB">
        <w:tc>
          <w:tcPr>
            <w:tcW w:w="709" w:type="dxa"/>
            <w:shd w:val="clear" w:color="auto" w:fill="auto"/>
            <w:vAlign w:val="center"/>
          </w:tcPr>
          <w:p w14:paraId="3B4A4C7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  <w:shd w:val="clear" w:color="auto" w:fill="auto"/>
          </w:tcPr>
          <w:p w14:paraId="2C63E16C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სხვა მოთხოვნები კონტრაქტორის მიმართ</w:t>
            </w:r>
          </w:p>
        </w:tc>
        <w:tc>
          <w:tcPr>
            <w:tcW w:w="6124" w:type="dxa"/>
            <w:shd w:val="clear" w:color="auto" w:fill="auto"/>
          </w:tcPr>
          <w:p w14:paraId="0ECBB990" w14:textId="39B07D40" w:rsidR="008E3EF1" w:rsidRDefault="008E3EF1" w:rsidP="00161760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ჩატარებული სამუშაოები შესაბამისობაში უნდა იყოს </w:t>
            </w:r>
            <w:r w:rsidR="007120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სს </w:t>
            </w:r>
            <w:r w:rsidR="0076448B">
              <w:rPr>
                <w:rFonts w:ascii="Sylfaen" w:hAnsi="Sylfaen"/>
                <w:sz w:val="22"/>
                <w:szCs w:val="22"/>
                <w:lang w:val="en-US"/>
              </w:rPr>
              <w:t>“RMG Copper-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ში“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მოქმედ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შრომის დაცვისა და უსაფრთხოების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საწარმო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>ში მოქმედი გარემოს დაცვის ნორმა</w:t>
            </w:r>
            <w:r w:rsidR="00161760">
              <w:rPr>
                <w:rFonts w:ascii="Sylfaen" w:hAnsi="Sylfaen"/>
                <w:sz w:val="22"/>
                <w:szCs w:val="22"/>
                <w:lang w:val="ka-GE"/>
              </w:rPr>
              <w:t>ტივებთან;</w:t>
            </w:r>
          </w:p>
          <w:p w14:paraId="389A8E2C" w14:textId="1F35CCCE" w:rsidR="00161760" w:rsidRPr="00CD478A" w:rsidRDefault="00161760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ისეთი ტიპის და აღჭურვილობის საბურღი დაზგა, </w:t>
            </w:r>
            <w:r w:rsidR="006D5D35" w:rsidRPr="00CD478A">
              <w:rPr>
                <w:rFonts w:ascii="Sylfaen" w:hAnsi="Sylfaen"/>
                <w:sz w:val="22"/>
                <w:szCs w:val="22"/>
                <w:lang w:val="ka-GE"/>
              </w:rPr>
              <w:t>რომელსაც შეუძლია ბურღვა ნატეხოვანი და კლდოვანი ტიპის ქანებში</w:t>
            </w:r>
            <w:r w:rsidR="00346984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="00145E37"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8E3EF1" w:rsidRPr="00544D24" w14:paraId="775FCEF3" w14:textId="77777777" w:rsidTr="000F49E5">
        <w:trPr>
          <w:trHeight w:val="821"/>
        </w:trPr>
        <w:tc>
          <w:tcPr>
            <w:tcW w:w="709" w:type="dxa"/>
            <w:shd w:val="clear" w:color="auto" w:fill="auto"/>
            <w:vAlign w:val="center"/>
          </w:tcPr>
          <w:p w14:paraId="0F404B98" w14:textId="23EBF4C2" w:rsidR="008E3EF1" w:rsidRPr="00D736BA" w:rsidRDefault="004476F0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0A0C695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A3BE8D3" w14:textId="3CE49568" w:rsidR="008E3EF1" w:rsidRPr="003E18C0" w:rsidRDefault="008E3EF1" w:rsidP="003E18C0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  <w:r w:rsidR="001203F5">
              <w:rPr>
                <w:rFonts w:ascii="Sylfaen" w:hAnsi="Sylfaen"/>
                <w:lang w:val="ka-GE"/>
              </w:rPr>
              <w:t>.</w:t>
            </w:r>
          </w:p>
        </w:tc>
      </w:tr>
    </w:tbl>
    <w:p w14:paraId="6802CBD4" w14:textId="64702D03" w:rsidR="00F17B0A" w:rsidRDefault="00F17B0A" w:rsidP="00F17B0A">
      <w:pPr>
        <w:spacing w:after="0"/>
        <w:ind w:right="-428"/>
        <w:rPr>
          <w:noProof/>
        </w:rPr>
      </w:pPr>
    </w:p>
    <w:p w14:paraId="4C9EE16C" w14:textId="3E7BA841" w:rsidR="00F17B0A" w:rsidRDefault="00346984" w:rsidP="00E9565D">
      <w:pPr>
        <w:spacing w:after="0"/>
        <w:ind w:right="-428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11CE1" wp14:editId="434E9D9A">
            <wp:simplePos x="0" y="0"/>
            <wp:positionH relativeFrom="column">
              <wp:posOffset>62865</wp:posOffset>
            </wp:positionH>
            <wp:positionV relativeFrom="paragraph">
              <wp:posOffset>41910</wp:posOffset>
            </wp:positionV>
            <wp:extent cx="5257800" cy="4010660"/>
            <wp:effectExtent l="0" t="0" r="0" b="889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C5B27E4-D2CE-47E5-AF95-C5AEFDAF9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2C5B27E4-D2CE-47E5-AF95-C5AEFDAF95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6E22C" w14:textId="4CBC6A97" w:rsidR="00F17B0A" w:rsidRDefault="00F17B0A" w:rsidP="00F17B0A">
      <w:pPr>
        <w:spacing w:after="0"/>
        <w:ind w:right="-428"/>
        <w:jc w:val="center"/>
        <w:rPr>
          <w:noProof/>
        </w:rPr>
      </w:pPr>
    </w:p>
    <w:p w14:paraId="53C8BA84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0F2AF529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296ACE7E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B3F92A4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660A72DA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222B35FB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DECBD6E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A677E4C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52339996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7EAB75E0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9208EB0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D351A46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6E6E3B21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3DD1AED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059B0D82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4F6191CB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734DB8CE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2BB12681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2D10BFBB" w14:textId="77777777" w:rsidR="00346984" w:rsidRDefault="00346984" w:rsidP="00E9565D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B5EA666" w14:textId="461EF7AF" w:rsidR="009247AA" w:rsidRPr="00E9565D" w:rsidRDefault="009247AA" w:rsidP="00E9565D">
      <w:pPr>
        <w:spacing w:after="0"/>
        <w:ind w:right="-428"/>
        <w:jc w:val="center"/>
        <w:rPr>
          <w:rFonts w:ascii="Sylfaen" w:hAnsi="Sylfaen"/>
          <w:lang w:val="ka-GE"/>
        </w:rPr>
      </w:pPr>
      <w:r w:rsidRPr="000F49E5">
        <w:rPr>
          <w:rFonts w:ascii="Sylfaen" w:hAnsi="Sylfaen"/>
          <w:b/>
          <w:i/>
          <w:color w:val="000000" w:themeColor="text1"/>
          <w:szCs w:val="24"/>
          <w:lang w:val="ka-GE"/>
        </w:rPr>
        <w:t>საპროექტო ჭაბურღილების განლაგების სქემა</w:t>
      </w:r>
    </w:p>
    <w:p w14:paraId="5B0DCFFF" w14:textId="3BF14C65" w:rsidR="0090331A" w:rsidRDefault="0090331A" w:rsidP="0090331A">
      <w:pPr>
        <w:spacing w:after="0"/>
        <w:ind w:right="-428"/>
        <w:jc w:val="center"/>
        <w:rPr>
          <w:rFonts w:ascii="Sylfaen" w:hAnsi="Sylfaen"/>
          <w:b/>
          <w:sz w:val="28"/>
          <w:szCs w:val="24"/>
          <w:lang w:val="ka-GE"/>
        </w:rPr>
      </w:pPr>
    </w:p>
    <w:p w14:paraId="21F7D663" w14:textId="77777777" w:rsidR="00B35A87" w:rsidRDefault="00B35A87" w:rsidP="00B35A87">
      <w:pPr>
        <w:spacing w:after="0"/>
        <w:ind w:right="-428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4FCB700B" w14:textId="30AF58F9" w:rsidR="00C65536" w:rsidRDefault="00C65536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51F50AC5" w14:textId="40AAF7E4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79F4B4E0" w14:textId="3BCBE76B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879B908" w14:textId="10BC347C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F3644F4" w14:textId="7FFFF830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9E14872" w14:textId="77777777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tbl>
      <w:tblPr>
        <w:tblW w:w="3760" w:type="dxa"/>
        <w:jc w:val="center"/>
        <w:tblLook w:val="04A0" w:firstRow="1" w:lastRow="0" w:firstColumn="1" w:lastColumn="0" w:noHBand="0" w:noVBand="1"/>
      </w:tblPr>
      <w:tblGrid>
        <w:gridCol w:w="960"/>
        <w:gridCol w:w="1400"/>
        <w:gridCol w:w="1400"/>
      </w:tblGrid>
      <w:tr w:rsidR="00346984" w:rsidRPr="00346984" w14:paraId="089048B8" w14:textId="77777777" w:rsidTr="00346984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519C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lastRenderedPageBreak/>
              <w:t>BHID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0F4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X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E531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Y</w:t>
            </w:r>
          </w:p>
        </w:tc>
      </w:tr>
      <w:tr w:rsidR="00346984" w:rsidRPr="00346984" w14:paraId="4701BCEA" w14:textId="77777777" w:rsidTr="0034698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6C00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sp_ad1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578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8448892,097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E2A5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4583040,672</w:t>
            </w:r>
          </w:p>
        </w:tc>
      </w:tr>
      <w:tr w:rsidR="00346984" w:rsidRPr="00346984" w14:paraId="5D889784" w14:textId="77777777" w:rsidTr="0034698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4935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sp_ad2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34D1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8448914,116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2977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4583041,03</w:t>
            </w:r>
          </w:p>
        </w:tc>
      </w:tr>
      <w:tr w:rsidR="00346984" w:rsidRPr="00346984" w14:paraId="5C8F225E" w14:textId="77777777" w:rsidTr="0034698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243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sp_ad3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1FFA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8448914,012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9947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4582985,806</w:t>
            </w:r>
          </w:p>
        </w:tc>
      </w:tr>
      <w:tr w:rsidR="00346984" w:rsidRPr="00346984" w14:paraId="06D53E52" w14:textId="77777777" w:rsidTr="0034698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475D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sp_ad4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51C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8448891,615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F36C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4582985,775</w:t>
            </w:r>
          </w:p>
        </w:tc>
      </w:tr>
      <w:tr w:rsidR="00346984" w:rsidRPr="00346984" w14:paraId="38AAF0C2" w14:textId="77777777" w:rsidTr="0034698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793A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sp_ad5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AB5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8448855,887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63EA" w14:textId="77777777" w:rsidR="00346984" w:rsidRPr="00346984" w:rsidRDefault="00346984" w:rsidP="00346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346984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4582979,715</w:t>
            </w:r>
          </w:p>
        </w:tc>
      </w:tr>
    </w:tbl>
    <w:p w14:paraId="291E71D7" w14:textId="77777777" w:rsidR="00F17B0A" w:rsidRDefault="00F17B0A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3CAEF87C" w14:textId="74C93299" w:rsidR="00F17B0A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  <w:r w:rsidRPr="00E9565D">
        <w:rPr>
          <w:rFonts w:ascii="Sylfaen" w:hAnsi="Sylfaen"/>
          <w:b/>
          <w:i/>
          <w:color w:val="000000" w:themeColor="text1"/>
          <w:szCs w:val="24"/>
          <w:lang w:val="ka-GE"/>
        </w:rPr>
        <w:t>საპროექტო ჭაბურღილების კოორდინატები და სიღრმეები</w:t>
      </w:r>
    </w:p>
    <w:p w14:paraId="77026B31" w14:textId="77777777" w:rsidR="00F17B0A" w:rsidRDefault="00F17B0A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021E98E1" w14:textId="77777777" w:rsidR="00F17B0A" w:rsidRDefault="00F17B0A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41B9BEB" w14:textId="77777777" w:rsidR="00F17B0A" w:rsidRDefault="00F17B0A" w:rsidP="0094490C">
      <w:pPr>
        <w:spacing w:after="0"/>
        <w:ind w:right="-428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6AC8B058" w14:textId="77777777" w:rsidR="00F17B0A" w:rsidRPr="006F5753" w:rsidRDefault="00F17B0A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960"/>
        <w:gridCol w:w="7260"/>
      </w:tblGrid>
      <w:tr w:rsidR="005C2B98" w:rsidRPr="005C2B98" w14:paraId="1DF5B9B6" w14:textId="77777777" w:rsidTr="005C2B98">
        <w:trPr>
          <w:trHeight w:val="10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EC22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C412" w14:textId="2D27BA85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ცდების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ჩამონათვალი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კლდოვანი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და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გრუნტისათვის</w:t>
            </w:r>
            <w:proofErr w:type="spellEnd"/>
          </w:p>
        </w:tc>
      </w:tr>
      <w:tr w:rsidR="005C2B98" w:rsidRPr="005C2B98" w14:paraId="60B0E372" w14:textId="77777777" w:rsidTr="005C2B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466B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1,0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65C3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ცდები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გრუნტი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5C2B98" w:rsidRPr="005C2B98" w14:paraId="394FD40C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850C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70822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მინერალური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ნაწილაკების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სიმკვრივე</w:t>
            </w:r>
            <w:proofErr w:type="spellEnd"/>
          </w:p>
        </w:tc>
      </w:tr>
      <w:tr w:rsidR="005C2B98" w:rsidRPr="005C2B98" w14:paraId="6B2415EE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A614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9E1F50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ბუნებრივი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სიმკვრივე</w:t>
            </w:r>
            <w:proofErr w:type="spellEnd"/>
          </w:p>
        </w:tc>
      </w:tr>
      <w:tr w:rsidR="005C2B98" w:rsidRPr="005C2B98" w14:paraId="20B97A3D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2B71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1821E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ბუნებრივი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ტენიანობა</w:t>
            </w:r>
            <w:proofErr w:type="spellEnd"/>
          </w:p>
        </w:tc>
      </w:tr>
      <w:tr w:rsidR="005C2B98" w:rsidRPr="005C2B98" w14:paraId="0BBD4EFE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38A0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00A05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პლასტიკურობა</w:t>
            </w:r>
            <w:proofErr w:type="spellEnd"/>
          </w:p>
        </w:tc>
      </w:tr>
      <w:tr w:rsidR="005C2B98" w:rsidRPr="005C2B98" w14:paraId="45DB7A45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0C55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22393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გრანულომეტრული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შედგენილობა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საცრული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ანალიზი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C2B98" w:rsidRPr="005C2B98" w14:paraId="7E4453B3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87EE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E1674A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გრანულომეტრული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შედგენილობა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ჰიდრომეტრული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ანალიზი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C2B98" w:rsidRPr="005C2B98" w14:paraId="19C3E864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C07B8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0E3E6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ძვრისადმი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წინაღობა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ჭრა</w:t>
            </w:r>
            <w:proofErr w:type="spellEnd"/>
          </w:p>
        </w:tc>
      </w:tr>
      <w:tr w:rsidR="005C2B98" w:rsidRPr="005C2B98" w14:paraId="3317D428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0525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D147E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კონსოლიდაცია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კომპრესია</w:t>
            </w:r>
            <w:proofErr w:type="spellEnd"/>
          </w:p>
        </w:tc>
      </w:tr>
      <w:tr w:rsidR="005C2B98" w:rsidRPr="005C2B98" w14:paraId="26D92C10" w14:textId="77777777" w:rsidTr="005C2B98">
        <w:trPr>
          <w:trHeight w:val="8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C6B8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1,9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FE3F90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სამღერძა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ცდა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არაკონსოლიდირებული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არადრენირებადი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ან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მსხვილნატეხოვანი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გრუნტის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შემთხვევაში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ძვრის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პარამეტრების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განსაზღვრა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გაანგარიშებით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.  </w:t>
            </w:r>
          </w:p>
        </w:tc>
      </w:tr>
      <w:tr w:rsidR="005C2B98" w:rsidRPr="005C2B98" w14:paraId="36683525" w14:textId="77777777" w:rsidTr="005C2B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C36DA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2,0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4F9E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ცდები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კლდოვანი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გრუნტი</w:t>
            </w:r>
            <w:proofErr w:type="spellEnd"/>
            <w:r w:rsidRPr="005C2B98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5C2B98" w:rsidRPr="005C2B98" w14:paraId="4FB7B901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90A0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2,1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82F34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სიმკვრივე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ბუნებრივი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C2B98" w:rsidRPr="005C2B98" w14:paraId="57803DB3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3068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2,2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AE5D7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სიმკვრივე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წყალგაჯერებული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C2B98" w:rsidRPr="005C2B98" w14:paraId="5E93AC35" w14:textId="77777777" w:rsidTr="005C2B98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D8A3" w14:textId="77777777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B98">
              <w:rPr>
                <w:rFonts w:ascii="Calibri" w:eastAsia="Times New Roman" w:hAnsi="Calibri" w:cs="Calibri"/>
                <w:color w:val="000000"/>
              </w:rPr>
              <w:t>2,3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2D289" w14:textId="77777777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სიმტკიცის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გამოცდა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ერთღერძა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კუმშვაზე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იუნგის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მოდულისა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პუასონის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კოეფიციენტის</w:t>
            </w:r>
            <w:proofErr w:type="spellEnd"/>
            <w:r w:rsidRPr="005C2B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B98">
              <w:rPr>
                <w:rFonts w:ascii="Calibri" w:eastAsia="Times New Roman" w:hAnsi="Calibri" w:cs="Calibri"/>
                <w:color w:val="000000"/>
              </w:rPr>
              <w:t>განსაზღვრით</w:t>
            </w:r>
            <w:proofErr w:type="spellEnd"/>
          </w:p>
        </w:tc>
      </w:tr>
      <w:tr w:rsidR="005C2B98" w:rsidRPr="005C2B98" w14:paraId="6917F744" w14:textId="77777777" w:rsidTr="000749D0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2504F" w14:textId="1BF6E84D" w:rsidR="005C2B98" w:rsidRPr="005C2B98" w:rsidRDefault="005C2B98" w:rsidP="005C2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FC57C" w14:textId="6A88C4E8" w:rsidR="005C2B98" w:rsidRPr="005C2B98" w:rsidRDefault="005C2B98" w:rsidP="005C2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765D340A" w14:textId="77777777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1E98349D" w14:textId="58C9489B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433628D2" w14:textId="1333746C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3747AB">
        <w:rPr>
          <w:rFonts w:ascii="Sylfaen" w:hAnsi="Sylfaen"/>
          <w:b/>
          <w:sz w:val="28"/>
          <w:szCs w:val="24"/>
          <w:lang w:val="ka-GE"/>
        </w:rPr>
        <w:t>შე</w:t>
      </w:r>
      <w:r>
        <w:rPr>
          <w:rFonts w:ascii="Sylfaen" w:hAnsi="Sylfaen"/>
          <w:b/>
          <w:sz w:val="28"/>
          <w:szCs w:val="24"/>
          <w:lang w:val="ka-GE"/>
        </w:rPr>
        <w:t xml:space="preserve">ადგინა: </w:t>
      </w:r>
    </w:p>
    <w:p w14:paraId="5E7D5BF6" w14:textId="3D806ED9" w:rsidR="0090331A" w:rsidRPr="006D0176" w:rsidRDefault="005C2B98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   ქეთი ბენაშვილი</w:t>
      </w:r>
    </w:p>
    <w:sectPr w:rsidR="0090331A" w:rsidRPr="006D0176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4AA"/>
    <w:multiLevelType w:val="hybridMultilevel"/>
    <w:tmpl w:val="C36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7CC"/>
    <w:multiLevelType w:val="hybridMultilevel"/>
    <w:tmpl w:val="D3D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438"/>
    <w:multiLevelType w:val="hybridMultilevel"/>
    <w:tmpl w:val="1B0C1C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1A8F"/>
    <w:multiLevelType w:val="hybridMultilevel"/>
    <w:tmpl w:val="C5420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21C42"/>
    <w:multiLevelType w:val="hybridMultilevel"/>
    <w:tmpl w:val="90DCB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28C9"/>
    <w:multiLevelType w:val="hybridMultilevel"/>
    <w:tmpl w:val="D18A1A60"/>
    <w:lvl w:ilvl="0" w:tplc="89F88D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36D1C"/>
    <w:multiLevelType w:val="hybridMultilevel"/>
    <w:tmpl w:val="25E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2122"/>
    <w:multiLevelType w:val="hybridMultilevel"/>
    <w:tmpl w:val="7C02C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163"/>
    <w:multiLevelType w:val="hybridMultilevel"/>
    <w:tmpl w:val="759A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C6795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E6285B"/>
    <w:multiLevelType w:val="hybridMultilevel"/>
    <w:tmpl w:val="D31C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2"/>
  </w:num>
  <w:num w:numId="11">
    <w:abstractNumId w:val="17"/>
  </w:num>
  <w:num w:numId="12">
    <w:abstractNumId w:val="4"/>
  </w:num>
  <w:num w:numId="13">
    <w:abstractNumId w:val="10"/>
  </w:num>
  <w:num w:numId="14">
    <w:abstractNumId w:val="16"/>
  </w:num>
  <w:num w:numId="15">
    <w:abstractNumId w:val="13"/>
  </w:num>
  <w:num w:numId="16">
    <w:abstractNumId w:val="18"/>
  </w:num>
  <w:num w:numId="17">
    <w:abstractNumId w:val="3"/>
  </w:num>
  <w:num w:numId="18">
    <w:abstractNumId w:val="15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B5"/>
    <w:rsid w:val="000225A0"/>
    <w:rsid w:val="0002478A"/>
    <w:rsid w:val="000315F7"/>
    <w:rsid w:val="00032725"/>
    <w:rsid w:val="00034D06"/>
    <w:rsid w:val="000377A8"/>
    <w:rsid w:val="00053AF6"/>
    <w:rsid w:val="000737B3"/>
    <w:rsid w:val="000749D0"/>
    <w:rsid w:val="00077688"/>
    <w:rsid w:val="00080DEB"/>
    <w:rsid w:val="00084416"/>
    <w:rsid w:val="000A5CA8"/>
    <w:rsid w:val="000B091D"/>
    <w:rsid w:val="000B0EF3"/>
    <w:rsid w:val="000D01D4"/>
    <w:rsid w:val="000D0B26"/>
    <w:rsid w:val="000D18AA"/>
    <w:rsid w:val="000F49E5"/>
    <w:rsid w:val="00102907"/>
    <w:rsid w:val="00105F22"/>
    <w:rsid w:val="001203F5"/>
    <w:rsid w:val="00135FE4"/>
    <w:rsid w:val="00145E37"/>
    <w:rsid w:val="00146CF9"/>
    <w:rsid w:val="001534A9"/>
    <w:rsid w:val="00161760"/>
    <w:rsid w:val="00163615"/>
    <w:rsid w:val="00171245"/>
    <w:rsid w:val="00184445"/>
    <w:rsid w:val="00192301"/>
    <w:rsid w:val="0019701E"/>
    <w:rsid w:val="001A02F6"/>
    <w:rsid w:val="001A5BA1"/>
    <w:rsid w:val="001B416B"/>
    <w:rsid w:val="001D09D3"/>
    <w:rsid w:val="001F7210"/>
    <w:rsid w:val="001F73B2"/>
    <w:rsid w:val="0020156C"/>
    <w:rsid w:val="002303EE"/>
    <w:rsid w:val="00274B8F"/>
    <w:rsid w:val="0028225B"/>
    <w:rsid w:val="0028635E"/>
    <w:rsid w:val="00292F9A"/>
    <w:rsid w:val="002A43C1"/>
    <w:rsid w:val="002C50E3"/>
    <w:rsid w:val="002D3D95"/>
    <w:rsid w:val="002D6691"/>
    <w:rsid w:val="002E5C88"/>
    <w:rsid w:val="00300896"/>
    <w:rsid w:val="00307F42"/>
    <w:rsid w:val="0032683E"/>
    <w:rsid w:val="00327579"/>
    <w:rsid w:val="00346984"/>
    <w:rsid w:val="0035704B"/>
    <w:rsid w:val="00370E17"/>
    <w:rsid w:val="00372AA1"/>
    <w:rsid w:val="00373395"/>
    <w:rsid w:val="00382370"/>
    <w:rsid w:val="003E18C0"/>
    <w:rsid w:val="003E2A0D"/>
    <w:rsid w:val="003F663E"/>
    <w:rsid w:val="00404569"/>
    <w:rsid w:val="00417A4D"/>
    <w:rsid w:val="00420DED"/>
    <w:rsid w:val="00421744"/>
    <w:rsid w:val="00422F6E"/>
    <w:rsid w:val="00427181"/>
    <w:rsid w:val="0044540C"/>
    <w:rsid w:val="004476F0"/>
    <w:rsid w:val="00470D18"/>
    <w:rsid w:val="00480684"/>
    <w:rsid w:val="00480C5A"/>
    <w:rsid w:val="0049143E"/>
    <w:rsid w:val="004A34CA"/>
    <w:rsid w:val="004B560B"/>
    <w:rsid w:val="004D38C2"/>
    <w:rsid w:val="004D7539"/>
    <w:rsid w:val="004F6020"/>
    <w:rsid w:val="005017DC"/>
    <w:rsid w:val="005018AB"/>
    <w:rsid w:val="00516414"/>
    <w:rsid w:val="00526870"/>
    <w:rsid w:val="00527A15"/>
    <w:rsid w:val="0056123C"/>
    <w:rsid w:val="00567BDE"/>
    <w:rsid w:val="005860AE"/>
    <w:rsid w:val="005A793D"/>
    <w:rsid w:val="005B3332"/>
    <w:rsid w:val="005B70FE"/>
    <w:rsid w:val="005C2B98"/>
    <w:rsid w:val="005E7FF3"/>
    <w:rsid w:val="005F6A4F"/>
    <w:rsid w:val="005F7560"/>
    <w:rsid w:val="0060186F"/>
    <w:rsid w:val="00621B3F"/>
    <w:rsid w:val="00650E91"/>
    <w:rsid w:val="0065542C"/>
    <w:rsid w:val="006735AF"/>
    <w:rsid w:val="00676D9D"/>
    <w:rsid w:val="00680C24"/>
    <w:rsid w:val="006833E3"/>
    <w:rsid w:val="006A2B96"/>
    <w:rsid w:val="006A36A9"/>
    <w:rsid w:val="006A3CEA"/>
    <w:rsid w:val="006A6DD1"/>
    <w:rsid w:val="006B3203"/>
    <w:rsid w:val="006B7412"/>
    <w:rsid w:val="006C7960"/>
    <w:rsid w:val="006D0176"/>
    <w:rsid w:val="006D5D35"/>
    <w:rsid w:val="006E4D49"/>
    <w:rsid w:val="006F5753"/>
    <w:rsid w:val="007120EE"/>
    <w:rsid w:val="0074252E"/>
    <w:rsid w:val="00743D1D"/>
    <w:rsid w:val="007622F2"/>
    <w:rsid w:val="0076448B"/>
    <w:rsid w:val="00777329"/>
    <w:rsid w:val="00777F75"/>
    <w:rsid w:val="00785931"/>
    <w:rsid w:val="007A01EB"/>
    <w:rsid w:val="007A1E82"/>
    <w:rsid w:val="007B2BC3"/>
    <w:rsid w:val="007B78A6"/>
    <w:rsid w:val="007C4644"/>
    <w:rsid w:val="007C5BD4"/>
    <w:rsid w:val="007D27D1"/>
    <w:rsid w:val="007E2250"/>
    <w:rsid w:val="007F1A7D"/>
    <w:rsid w:val="008041AE"/>
    <w:rsid w:val="008152BB"/>
    <w:rsid w:val="00822BBC"/>
    <w:rsid w:val="00826A3B"/>
    <w:rsid w:val="008270F1"/>
    <w:rsid w:val="00837913"/>
    <w:rsid w:val="008730CF"/>
    <w:rsid w:val="00873DA9"/>
    <w:rsid w:val="0088212F"/>
    <w:rsid w:val="008831DC"/>
    <w:rsid w:val="00884832"/>
    <w:rsid w:val="008911B3"/>
    <w:rsid w:val="008940B7"/>
    <w:rsid w:val="008A135D"/>
    <w:rsid w:val="008A61D9"/>
    <w:rsid w:val="008C0C51"/>
    <w:rsid w:val="008E2EB5"/>
    <w:rsid w:val="008E3EF1"/>
    <w:rsid w:val="0090331A"/>
    <w:rsid w:val="00914E4E"/>
    <w:rsid w:val="00924012"/>
    <w:rsid w:val="009247AA"/>
    <w:rsid w:val="0094490C"/>
    <w:rsid w:val="00984237"/>
    <w:rsid w:val="009A62F9"/>
    <w:rsid w:val="009A75B9"/>
    <w:rsid w:val="009B65D2"/>
    <w:rsid w:val="009C4A74"/>
    <w:rsid w:val="009D199A"/>
    <w:rsid w:val="009E00E6"/>
    <w:rsid w:val="009F5FDB"/>
    <w:rsid w:val="009F76A7"/>
    <w:rsid w:val="00A153BD"/>
    <w:rsid w:val="00A21F67"/>
    <w:rsid w:val="00A30448"/>
    <w:rsid w:val="00A332EF"/>
    <w:rsid w:val="00A600E4"/>
    <w:rsid w:val="00A75B0A"/>
    <w:rsid w:val="00A85755"/>
    <w:rsid w:val="00AB44D2"/>
    <w:rsid w:val="00AB68FF"/>
    <w:rsid w:val="00AC28C4"/>
    <w:rsid w:val="00AD12E7"/>
    <w:rsid w:val="00AD59B0"/>
    <w:rsid w:val="00AD6FB6"/>
    <w:rsid w:val="00AE67A6"/>
    <w:rsid w:val="00B17EBD"/>
    <w:rsid w:val="00B23C0F"/>
    <w:rsid w:val="00B34C70"/>
    <w:rsid w:val="00B35A87"/>
    <w:rsid w:val="00B54759"/>
    <w:rsid w:val="00B60542"/>
    <w:rsid w:val="00B63F52"/>
    <w:rsid w:val="00B82B28"/>
    <w:rsid w:val="00BA7993"/>
    <w:rsid w:val="00BB0E25"/>
    <w:rsid w:val="00BE2F1E"/>
    <w:rsid w:val="00BE6050"/>
    <w:rsid w:val="00BF2AB8"/>
    <w:rsid w:val="00C007C1"/>
    <w:rsid w:val="00C24997"/>
    <w:rsid w:val="00C335F5"/>
    <w:rsid w:val="00C40FC7"/>
    <w:rsid w:val="00C600B0"/>
    <w:rsid w:val="00C65536"/>
    <w:rsid w:val="00C877D2"/>
    <w:rsid w:val="00CA5335"/>
    <w:rsid w:val="00CB6BEC"/>
    <w:rsid w:val="00CD0BCD"/>
    <w:rsid w:val="00CD478A"/>
    <w:rsid w:val="00CD68A4"/>
    <w:rsid w:val="00CE7AFD"/>
    <w:rsid w:val="00CF6C61"/>
    <w:rsid w:val="00D035F9"/>
    <w:rsid w:val="00D14A29"/>
    <w:rsid w:val="00D33CDE"/>
    <w:rsid w:val="00D34D2C"/>
    <w:rsid w:val="00D52BC7"/>
    <w:rsid w:val="00D55B2F"/>
    <w:rsid w:val="00D85ABE"/>
    <w:rsid w:val="00DB07CB"/>
    <w:rsid w:val="00DB13A5"/>
    <w:rsid w:val="00DB2FBD"/>
    <w:rsid w:val="00DB3FC4"/>
    <w:rsid w:val="00DB65BF"/>
    <w:rsid w:val="00DB6760"/>
    <w:rsid w:val="00DB67ED"/>
    <w:rsid w:val="00DC7968"/>
    <w:rsid w:val="00DE79BE"/>
    <w:rsid w:val="00DF1EEB"/>
    <w:rsid w:val="00E0345B"/>
    <w:rsid w:val="00E04D7B"/>
    <w:rsid w:val="00E05FBE"/>
    <w:rsid w:val="00E2430A"/>
    <w:rsid w:val="00E24D68"/>
    <w:rsid w:val="00E36D2C"/>
    <w:rsid w:val="00E527D7"/>
    <w:rsid w:val="00E8254C"/>
    <w:rsid w:val="00E84AEC"/>
    <w:rsid w:val="00E87D17"/>
    <w:rsid w:val="00E87EF3"/>
    <w:rsid w:val="00E9565D"/>
    <w:rsid w:val="00EC7504"/>
    <w:rsid w:val="00ED4CD5"/>
    <w:rsid w:val="00EF1A1A"/>
    <w:rsid w:val="00EF43D9"/>
    <w:rsid w:val="00EF72C3"/>
    <w:rsid w:val="00F11536"/>
    <w:rsid w:val="00F17B0A"/>
    <w:rsid w:val="00F23DE3"/>
    <w:rsid w:val="00F44E6F"/>
    <w:rsid w:val="00F571D7"/>
    <w:rsid w:val="00F62C83"/>
    <w:rsid w:val="00F815F5"/>
    <w:rsid w:val="00F846BB"/>
    <w:rsid w:val="00F87092"/>
    <w:rsid w:val="00F91865"/>
    <w:rsid w:val="00FB4C81"/>
    <w:rsid w:val="00FC7842"/>
    <w:rsid w:val="00FD348D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06E4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5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D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1E43-06D9-469E-8704-0D040ED6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Keti Benashvili</cp:lastModifiedBy>
  <cp:revision>119</cp:revision>
  <cp:lastPrinted>2023-03-30T12:27:00Z</cp:lastPrinted>
  <dcterms:created xsi:type="dcterms:W3CDTF">2023-01-11T12:43:00Z</dcterms:created>
  <dcterms:modified xsi:type="dcterms:W3CDTF">2026-01-06T09:53:00Z</dcterms:modified>
</cp:coreProperties>
</file>