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7CBEF0C7" w14:textId="77777777" w:rsidR="00966E82" w:rsidRPr="00905499" w:rsidRDefault="00966E82" w:rsidP="00966E8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68492B9" w14:textId="6CF385E1" w:rsidR="008B559B" w:rsidRPr="00B95891" w:rsidRDefault="00DE29C4" w:rsidP="00B95891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20"/>
          <w:lang w:val="ka-GE"/>
        </w:rPr>
        <w:t>სს „საქართველოს კლინიკები“</w:t>
      </w:r>
      <w:r w:rsidR="00966E82">
        <w:rPr>
          <w:rFonts w:ascii="Sylfaen" w:hAnsi="Sylfaen" w:cs="Sylfaen"/>
          <w:sz w:val="20"/>
          <w:lang w:val="ka-GE"/>
        </w:rPr>
        <w:t xml:space="preserve"> </w:t>
      </w:r>
      <w:r w:rsidR="008742CB">
        <w:rPr>
          <w:rFonts w:ascii="Sylfaen" w:hAnsi="Sylfaen" w:cs="Sylfaen"/>
          <w:sz w:val="20"/>
          <w:lang w:val="ka-GE"/>
        </w:rPr>
        <w:t>(„შემსყიდველი“)</w:t>
      </w:r>
      <w:r w:rsidR="00EC6FB9">
        <w:rPr>
          <w:rFonts w:ascii="Sylfaen" w:hAnsi="Sylfaen" w:cs="Sylfaen"/>
          <w:sz w:val="20"/>
          <w:lang w:val="ka-GE"/>
        </w:rPr>
        <w:t xml:space="preserve"> თავაზობს</w:t>
      </w:r>
      <w:r w:rsidR="00966E82">
        <w:rPr>
          <w:rFonts w:ascii="Sylfaen" w:hAnsi="Sylfaen" w:cs="Sylfaen"/>
          <w:sz w:val="20"/>
          <w:lang w:val="ka-GE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 xml:space="preserve">პრეტენდენტებს </w:t>
      </w:r>
      <w:r w:rsidR="00BF4C1C">
        <w:rPr>
          <w:rFonts w:ascii="Sylfaen" w:hAnsi="Sylfaen" w:cs="Sylfaen"/>
          <w:b/>
          <w:bCs/>
          <w:sz w:val="20"/>
          <w:lang w:val="ka-GE"/>
        </w:rPr>
        <w:t xml:space="preserve">ნეიროქირურგიული მიკროსკოპის </w:t>
      </w:r>
      <w:r w:rsidR="00756B72" w:rsidRPr="00966E82">
        <w:rPr>
          <w:rFonts w:ascii="Sylfaen" w:hAnsi="Sylfaen"/>
          <w:sz w:val="20"/>
          <w:lang w:val="ka-GE"/>
        </w:rPr>
        <w:t>შესყიდვაზე</w:t>
      </w:r>
      <w:r w:rsidR="00756B72">
        <w:rPr>
          <w:rFonts w:ascii="Sylfaen" w:hAnsi="Sylfaen"/>
          <w:b/>
          <w:lang w:val="ka-GE"/>
        </w:rPr>
        <w:t xml:space="preserve"> </w:t>
      </w:r>
      <w:r w:rsidR="008742CB" w:rsidRPr="00905499">
        <w:rPr>
          <w:rFonts w:ascii="Sylfaen" w:hAnsi="Sylfaen" w:cs="Sylfaen"/>
          <w:sz w:val="20"/>
          <w:lang w:val="ka-GE"/>
        </w:rPr>
        <w:t>გამოცხადებულ</w:t>
      </w:r>
      <w:r w:rsidR="008742CB">
        <w:rPr>
          <w:rFonts w:ascii="Sylfaen" w:hAnsi="Sylfaen" w:cs="Sylfaen"/>
          <w:sz w:val="20"/>
          <w:lang w:val="ka-GE"/>
        </w:rPr>
        <w:t xml:space="preserve"> ტენდერში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0A3A2B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DB9EB40" w14:textId="77777777" w:rsidR="00966E82" w:rsidRPr="00966E82" w:rsidRDefault="00966E82" w:rsidP="00966E82">
      <w:pPr>
        <w:rPr>
          <w:rFonts w:ascii="Sylfaen" w:hAnsi="Sylfaen" w:cs="Sylfaen"/>
          <w:b/>
          <w:sz w:val="20"/>
          <w:lang w:val="ka-GE"/>
        </w:rPr>
      </w:pP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7B543451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1F3373">
        <w:rPr>
          <w:rFonts w:ascii="Sylfaen" w:hAnsi="Sylfaen" w:cs="Sylfaen"/>
          <w:sz w:val="20"/>
          <w:lang w:val="ka-GE"/>
        </w:rPr>
        <w:t xml:space="preserve">6 </w:t>
      </w:r>
      <w:r w:rsidR="00B95891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1F3373">
        <w:rPr>
          <w:rFonts w:ascii="Sylfaen" w:hAnsi="Sylfaen" w:cs="Sylfaen"/>
          <w:sz w:val="20"/>
          <w:lang w:val="ka-GE"/>
        </w:rPr>
        <w:t xml:space="preserve"> </w:t>
      </w:r>
      <w:r w:rsidR="00966E82">
        <w:rPr>
          <w:rFonts w:ascii="Sylfaen" w:hAnsi="Sylfaen" w:cs="Sylfaen"/>
          <w:sz w:val="20"/>
          <w:lang w:val="ka-GE"/>
        </w:rPr>
        <w:t>6</w:t>
      </w:r>
      <w:r w:rsidR="000472E2">
        <w:rPr>
          <w:rFonts w:ascii="Sylfaen" w:hAnsi="Sylfaen" w:cs="Sylfaen"/>
          <w:sz w:val="20"/>
          <w:lang w:val="ka-GE"/>
        </w:rPr>
        <w:t xml:space="preserve"> </w:t>
      </w:r>
      <w:r w:rsidR="00BF4C1C">
        <w:rPr>
          <w:rFonts w:ascii="Sylfaen" w:hAnsi="Sylfaen" w:cs="Sylfaen"/>
          <w:sz w:val="20"/>
          <w:lang w:val="ka-GE"/>
        </w:rPr>
        <w:t>თებერვლის</w:t>
      </w:r>
      <w:r w:rsidRPr="0048091B">
        <w:rPr>
          <w:rFonts w:ascii="Sylfaen" w:hAnsi="Sylfaen" w:cs="Sylfaen"/>
          <w:sz w:val="20"/>
          <w:lang w:val="ka-GE"/>
        </w:rPr>
        <w:t xml:space="preserve"> 18:00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0AE79A70" w:rsidR="00375CF1" w:rsidRDefault="001B48A7" w:rsidP="00BE6E47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</w:t>
      </w:r>
      <w:r w:rsidR="00BE6E47">
        <w:rPr>
          <w:rFonts w:ascii="Sylfaen" w:hAnsi="Sylfaen" w:cs="Sylfaen"/>
          <w:b/>
          <w:sz w:val="20"/>
          <w:lang w:val="ka-GE"/>
        </w:rPr>
        <w:t xml:space="preserve">მწოდებელი ვალდებულია უზრუნველყოს </w:t>
      </w:r>
      <w:r w:rsidR="00BF4C1C">
        <w:rPr>
          <w:rFonts w:ascii="Sylfaen" w:hAnsi="Sylfaen" w:cs="Sylfaen"/>
          <w:b/>
          <w:sz w:val="20"/>
          <w:lang w:val="ka-GE"/>
        </w:rPr>
        <w:t xml:space="preserve">მიკროსკოპის </w:t>
      </w:r>
      <w:r w:rsidR="00BE6E47">
        <w:rPr>
          <w:rFonts w:ascii="Sylfaen" w:hAnsi="Sylfaen" w:cs="Sylfaen"/>
          <w:b/>
          <w:sz w:val="20"/>
          <w:lang w:val="ka-GE"/>
        </w:rPr>
        <w:t>მიწოდება და მონტაჟი</w:t>
      </w:r>
      <w:r w:rsidR="00BF4C1C">
        <w:rPr>
          <w:rFonts w:ascii="Sylfaen" w:hAnsi="Sylfaen" w:cs="Sylfaen"/>
          <w:b/>
          <w:sz w:val="20"/>
          <w:lang w:val="ka-GE"/>
        </w:rPr>
        <w:t xml:space="preserve"> ქ. გორში.</w:t>
      </w:r>
    </w:p>
    <w:p w14:paraId="7F746E0E" w14:textId="77777777" w:rsidR="00BF4C1C" w:rsidRPr="0074386B" w:rsidRDefault="00BF4C1C" w:rsidP="00BE6E47">
      <w:pPr>
        <w:rPr>
          <w:rFonts w:ascii="Sylfaen" w:hAnsi="Sylfaen" w:cs="Sylfaen"/>
          <w:b/>
          <w:sz w:val="20"/>
          <w:lang w:val="ka-GE"/>
        </w:rPr>
      </w:pP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12E71307" w14:textId="5BC91378" w:rsidR="009D4C4E" w:rsidRDefault="00BE6E47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შესასყიდი </w:t>
      </w:r>
      <w:r w:rsidR="00BF4C1C">
        <w:rPr>
          <w:rFonts w:ascii="Sylfaen" w:hAnsi="Sylfaen" w:cs="Sylfaen"/>
          <w:sz w:val="20"/>
          <w:lang w:val="ka-GE"/>
        </w:rPr>
        <w:t xml:space="preserve">ნეიროქირურგიული მიკროსკოპის </w:t>
      </w:r>
      <w:r w:rsidR="007C2FA3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 სპეციფიკაციები მოცემულია </w:t>
      </w:r>
      <w:r w:rsidR="0042617C">
        <w:rPr>
          <w:rFonts w:ascii="Sylfaen" w:hAnsi="Sylfaen" w:cs="Sylfaen"/>
          <w:sz w:val="20"/>
          <w:lang w:val="ka-GE"/>
        </w:rPr>
        <w:t>დანართ #1-ში</w:t>
      </w:r>
      <w:r w:rsidR="0048091B">
        <w:rPr>
          <w:rFonts w:ascii="Sylfaen" w:hAnsi="Sylfaen" w:cs="Sylfaen"/>
          <w:sz w:val="20"/>
          <w:lang w:val="ka-GE"/>
        </w:rPr>
        <w:t>;</w:t>
      </w:r>
    </w:p>
    <w:p w14:paraId="441E6D03" w14:textId="77777777" w:rsidR="0048091B" w:rsidRDefault="0048091B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B82A41C" w14:textId="159782FD" w:rsidR="00E401EA" w:rsidRDefault="0048091B" w:rsidP="0010483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>მონტაჟი და ტრეინინგის ჩატარება</w:t>
      </w:r>
      <w:r w:rsidR="0093313A">
        <w:rPr>
          <w:rFonts w:ascii="Sylfaen" w:hAnsi="Sylfaen" w:cs="Sylfaen"/>
          <w:b/>
          <w:sz w:val="20"/>
          <w:lang w:val="ka-GE"/>
        </w:rPr>
        <w:t xml:space="preserve"> რეგიონ</w:t>
      </w:r>
      <w:r w:rsidR="007C2FA3">
        <w:rPr>
          <w:rFonts w:ascii="Sylfaen" w:hAnsi="Sylfaen" w:cs="Sylfaen"/>
          <w:b/>
          <w:sz w:val="20"/>
          <w:lang w:val="ka-GE"/>
        </w:rPr>
        <w:t>ში.</w:t>
      </w:r>
    </w:p>
    <w:p w14:paraId="1A126CD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6CA3538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4B32FF57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3EA6E806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7CAF702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6A6DA5F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85928A8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1EAF3F5C" w14:textId="25FD8FCE" w:rsidR="0048091B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</w:p>
    <w:p w14:paraId="0255F4FB" w14:textId="77777777" w:rsidR="00E401EA" w:rsidRDefault="00E401EA" w:rsidP="00E401EA">
      <w:pPr>
        <w:pStyle w:val="ListParagraph"/>
        <w:ind w:left="360"/>
        <w:jc w:val="left"/>
        <w:rPr>
          <w:rFonts w:ascii="Sylfaen" w:hAnsi="Sylfaen" w:cs="Sylfaen"/>
          <w:b/>
          <w:sz w:val="20"/>
          <w:lang w:val="ka-GE"/>
        </w:rPr>
      </w:pPr>
    </w:p>
    <w:p w14:paraId="29EE4B01" w14:textId="77777777" w:rsidR="00A92E91" w:rsidRPr="00905499" w:rsidRDefault="00A92E91">
      <w:pPr>
        <w:rPr>
          <w:b/>
          <w:sz w:val="20"/>
          <w:lang w:val="ka-GE"/>
        </w:rPr>
      </w:pPr>
    </w:p>
    <w:p w14:paraId="57109354" w14:textId="3DAC6B69" w:rsidR="00A92E91" w:rsidRPr="00905499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905499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72067921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აფიდატი</w:t>
      </w:r>
      <w:r w:rsidR="00966E82">
        <w:rPr>
          <w:rFonts w:ascii="Sylfaen" w:hAnsi="Sylfaen" w:cs="Sylfaen"/>
          <w:sz w:val="20"/>
          <w:lang w:val="ka-GE"/>
        </w:rPr>
        <w:t xml:space="preserve">ვი </w:t>
      </w:r>
      <w:r w:rsidR="005D7263" w:rsidRPr="00375CF1">
        <w:rPr>
          <w:rFonts w:ascii="Sylfaen" w:hAnsi="Sylfaen" w:cs="Sylfaen"/>
          <w:sz w:val="20"/>
          <w:lang w:val="ka-GE"/>
        </w:rPr>
        <w:t xml:space="preserve"> - აფიდატი</w:t>
      </w:r>
      <w:r w:rsidR="00966E82">
        <w:rPr>
          <w:rFonts w:ascii="Sylfaen" w:hAnsi="Sylfaen" w:cs="Sylfaen"/>
          <w:sz w:val="20"/>
          <w:lang w:val="ka-GE"/>
        </w:rPr>
        <w:t>ვი</w:t>
      </w:r>
      <w:r w:rsidR="005D7263" w:rsidRPr="00375CF1">
        <w:rPr>
          <w:rFonts w:ascii="Sylfaen" w:hAnsi="Sylfaen" w:cs="Sylfaen"/>
          <w:sz w:val="20"/>
          <w:lang w:val="ka-GE"/>
        </w:rPr>
        <w:t xml:space="preserve">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lastRenderedPageBreak/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5D9C6590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3B607198" w14:textId="77777777" w:rsidR="00966E82" w:rsidRPr="00905499" w:rsidRDefault="00966E82" w:rsidP="00966E8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5FED92A0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3373">
        <w:rPr>
          <w:rFonts w:ascii="Sylfaen" w:hAnsi="Sylfaen" w:cs="Sylfaen"/>
          <w:sz w:val="20"/>
          <w:lang w:val="ka-GE"/>
        </w:rPr>
        <w:t>6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966E82">
        <w:rPr>
          <w:rFonts w:ascii="Sylfaen" w:hAnsi="Sylfaen" w:cs="Sylfaen"/>
          <w:sz w:val="20"/>
          <w:lang w:val="ka-GE"/>
        </w:rPr>
        <w:t xml:space="preserve">6 </w:t>
      </w:r>
      <w:r w:rsidR="00BF4C1C">
        <w:rPr>
          <w:rFonts w:ascii="Sylfaen" w:hAnsi="Sylfaen" w:cs="Sylfaen"/>
          <w:sz w:val="20"/>
          <w:lang w:val="ka-GE"/>
        </w:rPr>
        <w:t xml:space="preserve">თებერვლის </w:t>
      </w:r>
      <w:r w:rsidR="001F3373">
        <w:rPr>
          <w:rFonts w:ascii="Sylfaen" w:hAnsi="Sylfaen" w:cs="Sylfaen"/>
          <w:sz w:val="20"/>
          <w:lang w:val="ka-GE"/>
        </w:rPr>
        <w:t xml:space="preserve"> 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18:00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lastRenderedPageBreak/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1A1B229" w14:textId="63206FCE" w:rsidR="00A92E91" w:rsidRPr="00940D33" w:rsidRDefault="005B7AE4" w:rsidP="00FD5B9D">
      <w:pPr>
        <w:rPr>
          <w:rFonts w:ascii="Sylfaen" w:hAnsi="Sylfaen"/>
          <w:sz w:val="20"/>
          <w:lang w:val="en-US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DE29C4" w:rsidRPr="009425E6">
          <w:rPr>
            <w:rStyle w:val="Hyperlink"/>
          </w:rPr>
          <w:t>Medical_procurements@vian.health</w:t>
        </w:r>
      </w:hyperlink>
      <w:r w:rsidR="00DE29C4">
        <w:t xml:space="preserve">, </w:t>
      </w:r>
      <w:r w:rsidR="00940D33">
        <w:rPr>
          <w:rFonts w:ascii="Sylfaen" w:hAnsi="Sylfaen" w:cs="Sylfaen"/>
          <w:color w:val="548DD4" w:themeColor="text2" w:themeTint="99"/>
          <w:sz w:val="20"/>
          <w:lang w:val="ka-GE"/>
        </w:rPr>
        <w:t xml:space="preserve"> </w:t>
      </w:r>
      <w:r w:rsidR="001F3373">
        <w:rPr>
          <w:rFonts w:ascii="Sylfaen" w:hAnsi="Sylfaen"/>
        </w:rPr>
        <w:t>kakauridzen@clinics.ge</w:t>
      </w:r>
      <w:r w:rsidR="00260E40">
        <w:rPr>
          <w:rFonts w:ascii="Sylfaen" w:hAnsi="Sylfaen" w:cs="Sylfaen"/>
          <w:color w:val="548DD4" w:themeColor="text2" w:themeTint="99"/>
          <w:sz w:val="20"/>
          <w:lang w:val="en-US"/>
        </w:rPr>
        <w:t xml:space="preserve"> </w:t>
      </w:r>
    </w:p>
    <w:sectPr w:rsidR="00A92E91" w:rsidRPr="00940D3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481D" w14:textId="77777777" w:rsidR="00566B95" w:rsidRDefault="00566B95">
      <w:r>
        <w:separator/>
      </w:r>
    </w:p>
  </w:endnote>
  <w:endnote w:type="continuationSeparator" w:id="0">
    <w:p w14:paraId="5ADB8A3D" w14:textId="77777777" w:rsidR="00566B95" w:rsidRDefault="0056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7BFE" w14:textId="77777777" w:rsidR="00566B95" w:rsidRDefault="00566B95">
      <w:r>
        <w:separator/>
      </w:r>
    </w:p>
  </w:footnote>
  <w:footnote w:type="continuationSeparator" w:id="0">
    <w:p w14:paraId="70226F9D" w14:textId="77777777" w:rsidR="00566B95" w:rsidRDefault="0056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4C9BF6B4" w:rsidR="00B95891" w:rsidRDefault="00B95891">
    <w:pPr>
      <w:pStyle w:val="Header"/>
      <w:rPr>
        <w:rFonts w:ascii="Sylfaen" w:hAnsi="Sylfaen"/>
        <w:b/>
        <w:lang w:val="ka-GE"/>
      </w:rPr>
    </w:pPr>
    <w:r>
      <w:rPr>
        <w:rFonts w:ascii="Sylfaen" w:hAnsi="Sylfaen" w:cs="Calibri"/>
        <w:noProof/>
        <w:color w:val="156082"/>
        <w:sz w:val="18"/>
        <w:szCs w:val="18"/>
      </w:rPr>
      <w:drawing>
        <wp:inline distT="0" distB="0" distL="0" distR="0" wp14:anchorId="335468AD" wp14:editId="1240E542">
          <wp:extent cx="1568450" cy="406400"/>
          <wp:effectExtent l="0" t="0" r="0" b="0"/>
          <wp:docPr id="1452405472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405472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5EA7CE72" w:rsidR="00FD5B9D" w:rsidRDefault="007A6DB3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>სს</w:t>
    </w:r>
    <w:r w:rsidR="00B95891">
      <w:rPr>
        <w:rFonts w:ascii="Sylfaen" w:hAnsi="Sylfaen"/>
        <w:b/>
        <w:lang w:val="ka-GE"/>
      </w:rPr>
      <w:t>,,საქართველოს კლინიკები’’</w:t>
    </w:r>
    <w:r>
      <w:rPr>
        <w:rFonts w:ascii="Sylfaen" w:hAnsi="Sylfaen"/>
        <w:b/>
        <w:lang w:val="ka-GE"/>
      </w:rPr>
      <w:t xml:space="preserve"> აცხადებს ტენდერს:</w:t>
    </w:r>
  </w:p>
  <w:p w14:paraId="3661D2A9" w14:textId="77777777" w:rsidR="001F3373" w:rsidRPr="00FD5B9D" w:rsidRDefault="001F3373">
    <w:pPr>
      <w:pStyle w:val="Header"/>
      <w:rPr>
        <w:rFonts w:ascii="Sylfaen" w:hAnsi="Sylfaen"/>
        <w:b/>
        <w:lang w:val="ka-GE"/>
      </w:rPr>
    </w:pPr>
  </w:p>
  <w:p w14:paraId="12E22DAA" w14:textId="39A1A829" w:rsidR="003319D9" w:rsidRPr="00756B72" w:rsidRDefault="001F3373" w:rsidP="001F3373">
    <w:pPr>
      <w:pStyle w:val="Header"/>
      <w:rPr>
        <w:rFonts w:ascii="Sylfaen" w:hAnsi="Sylfaen"/>
        <w:b/>
        <w:lang w:val="ka-GE"/>
      </w:rPr>
    </w:pPr>
    <w:r w:rsidRPr="001F3373">
      <w:rPr>
        <w:rFonts w:ascii="Sylfaen" w:hAnsi="Sylfaen"/>
        <w:b/>
        <w:lang w:val="ka-GE"/>
      </w:rPr>
      <w:t>სტაციონარული რენტგენი</w:t>
    </w:r>
    <w:r>
      <w:rPr>
        <w:rFonts w:ascii="Sylfaen" w:hAnsi="Sylfaen"/>
        <w:b/>
        <w:lang w:val="ka-GE"/>
      </w:rPr>
      <w:t>ს შესყიდვაზე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46A46"/>
    <w:rsid w:val="000472E2"/>
    <w:rsid w:val="00052CDA"/>
    <w:rsid w:val="0005682D"/>
    <w:rsid w:val="00081B78"/>
    <w:rsid w:val="0008441E"/>
    <w:rsid w:val="00090A21"/>
    <w:rsid w:val="00095C28"/>
    <w:rsid w:val="000A287F"/>
    <w:rsid w:val="000A2AC4"/>
    <w:rsid w:val="000A3A2B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AE0"/>
    <w:rsid w:val="00163DB0"/>
    <w:rsid w:val="001640C4"/>
    <w:rsid w:val="001673C7"/>
    <w:rsid w:val="00173EC8"/>
    <w:rsid w:val="0017554F"/>
    <w:rsid w:val="001828C7"/>
    <w:rsid w:val="00193238"/>
    <w:rsid w:val="00195B58"/>
    <w:rsid w:val="001A4ED8"/>
    <w:rsid w:val="001A68A2"/>
    <w:rsid w:val="001B12F0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3373"/>
    <w:rsid w:val="001F6598"/>
    <w:rsid w:val="002061B9"/>
    <w:rsid w:val="00212F33"/>
    <w:rsid w:val="002207DC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3111E"/>
    <w:rsid w:val="003319D9"/>
    <w:rsid w:val="003357D4"/>
    <w:rsid w:val="0036085E"/>
    <w:rsid w:val="003638E4"/>
    <w:rsid w:val="00373885"/>
    <w:rsid w:val="00375CF1"/>
    <w:rsid w:val="003950CF"/>
    <w:rsid w:val="0039569F"/>
    <w:rsid w:val="003B4E01"/>
    <w:rsid w:val="003C48E8"/>
    <w:rsid w:val="003E7472"/>
    <w:rsid w:val="003F2A25"/>
    <w:rsid w:val="003F30EE"/>
    <w:rsid w:val="0041256E"/>
    <w:rsid w:val="00417D8B"/>
    <w:rsid w:val="00421C7C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90373"/>
    <w:rsid w:val="00490F54"/>
    <w:rsid w:val="00495C1F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473DA"/>
    <w:rsid w:val="00555655"/>
    <w:rsid w:val="00560D22"/>
    <w:rsid w:val="00566B95"/>
    <w:rsid w:val="00574BCF"/>
    <w:rsid w:val="005831B7"/>
    <w:rsid w:val="005925EF"/>
    <w:rsid w:val="005B46F5"/>
    <w:rsid w:val="005B7AE4"/>
    <w:rsid w:val="005C2B03"/>
    <w:rsid w:val="005D5124"/>
    <w:rsid w:val="005D544E"/>
    <w:rsid w:val="005D7263"/>
    <w:rsid w:val="005E2F8C"/>
    <w:rsid w:val="005F477C"/>
    <w:rsid w:val="00602577"/>
    <w:rsid w:val="006031A0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B4E51"/>
    <w:rsid w:val="006C39DF"/>
    <w:rsid w:val="006D1745"/>
    <w:rsid w:val="006D3555"/>
    <w:rsid w:val="006E05B3"/>
    <w:rsid w:val="006E46F7"/>
    <w:rsid w:val="006F54AA"/>
    <w:rsid w:val="00716164"/>
    <w:rsid w:val="00721722"/>
    <w:rsid w:val="0074386B"/>
    <w:rsid w:val="0075353F"/>
    <w:rsid w:val="00756B72"/>
    <w:rsid w:val="007634BF"/>
    <w:rsid w:val="00780D08"/>
    <w:rsid w:val="0078269C"/>
    <w:rsid w:val="00782C74"/>
    <w:rsid w:val="0079467D"/>
    <w:rsid w:val="0079640D"/>
    <w:rsid w:val="007A140D"/>
    <w:rsid w:val="007A2D2F"/>
    <w:rsid w:val="007A36F3"/>
    <w:rsid w:val="007A6DB3"/>
    <w:rsid w:val="007C2FA3"/>
    <w:rsid w:val="007C4162"/>
    <w:rsid w:val="007E1716"/>
    <w:rsid w:val="007E2B97"/>
    <w:rsid w:val="007F7F94"/>
    <w:rsid w:val="00804A0A"/>
    <w:rsid w:val="00805A41"/>
    <w:rsid w:val="00811BB1"/>
    <w:rsid w:val="008127CD"/>
    <w:rsid w:val="00824A4D"/>
    <w:rsid w:val="008258F3"/>
    <w:rsid w:val="00832C9E"/>
    <w:rsid w:val="00836579"/>
    <w:rsid w:val="008377EB"/>
    <w:rsid w:val="0084231D"/>
    <w:rsid w:val="00842D9C"/>
    <w:rsid w:val="008431D0"/>
    <w:rsid w:val="0084578C"/>
    <w:rsid w:val="00865DCE"/>
    <w:rsid w:val="00872B2C"/>
    <w:rsid w:val="00872BA2"/>
    <w:rsid w:val="008742CB"/>
    <w:rsid w:val="0088294C"/>
    <w:rsid w:val="0088495A"/>
    <w:rsid w:val="0088575E"/>
    <w:rsid w:val="00885979"/>
    <w:rsid w:val="008864E5"/>
    <w:rsid w:val="00886DF2"/>
    <w:rsid w:val="00891443"/>
    <w:rsid w:val="00892B25"/>
    <w:rsid w:val="00892F47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3A"/>
    <w:rsid w:val="00933158"/>
    <w:rsid w:val="00934042"/>
    <w:rsid w:val="009354B6"/>
    <w:rsid w:val="00940D33"/>
    <w:rsid w:val="00946D09"/>
    <w:rsid w:val="009514D4"/>
    <w:rsid w:val="009570CB"/>
    <w:rsid w:val="00966E82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23668"/>
    <w:rsid w:val="00A372C3"/>
    <w:rsid w:val="00A376BC"/>
    <w:rsid w:val="00A50223"/>
    <w:rsid w:val="00A53250"/>
    <w:rsid w:val="00A63FDD"/>
    <w:rsid w:val="00A7012C"/>
    <w:rsid w:val="00A85F8C"/>
    <w:rsid w:val="00A8632B"/>
    <w:rsid w:val="00A92E91"/>
    <w:rsid w:val="00A95E1A"/>
    <w:rsid w:val="00AA4A0B"/>
    <w:rsid w:val="00AA641A"/>
    <w:rsid w:val="00AA7BE9"/>
    <w:rsid w:val="00AA7C36"/>
    <w:rsid w:val="00AB3738"/>
    <w:rsid w:val="00AB736E"/>
    <w:rsid w:val="00AC1966"/>
    <w:rsid w:val="00AF5DFD"/>
    <w:rsid w:val="00B10ACE"/>
    <w:rsid w:val="00B27418"/>
    <w:rsid w:val="00B31BEE"/>
    <w:rsid w:val="00B46751"/>
    <w:rsid w:val="00B47E81"/>
    <w:rsid w:val="00B658F8"/>
    <w:rsid w:val="00B70A4D"/>
    <w:rsid w:val="00B808DD"/>
    <w:rsid w:val="00B94347"/>
    <w:rsid w:val="00B95891"/>
    <w:rsid w:val="00BA4BB8"/>
    <w:rsid w:val="00BA70E0"/>
    <w:rsid w:val="00BB388C"/>
    <w:rsid w:val="00BB6B9D"/>
    <w:rsid w:val="00BC086D"/>
    <w:rsid w:val="00BC0D0B"/>
    <w:rsid w:val="00BD37BC"/>
    <w:rsid w:val="00BD7CDC"/>
    <w:rsid w:val="00BE5AEF"/>
    <w:rsid w:val="00BE5EA1"/>
    <w:rsid w:val="00BE6E47"/>
    <w:rsid w:val="00BF4C1C"/>
    <w:rsid w:val="00BF6494"/>
    <w:rsid w:val="00BF7729"/>
    <w:rsid w:val="00C07697"/>
    <w:rsid w:val="00C07BCF"/>
    <w:rsid w:val="00C156B3"/>
    <w:rsid w:val="00C16277"/>
    <w:rsid w:val="00C174B8"/>
    <w:rsid w:val="00C20D80"/>
    <w:rsid w:val="00C413C9"/>
    <w:rsid w:val="00C45CD9"/>
    <w:rsid w:val="00C4625F"/>
    <w:rsid w:val="00C54D0E"/>
    <w:rsid w:val="00C6057A"/>
    <w:rsid w:val="00C6064C"/>
    <w:rsid w:val="00C80423"/>
    <w:rsid w:val="00C838C4"/>
    <w:rsid w:val="00C841AD"/>
    <w:rsid w:val="00C8575D"/>
    <w:rsid w:val="00C92CE3"/>
    <w:rsid w:val="00C969E9"/>
    <w:rsid w:val="00CA4F6A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B7E"/>
    <w:rsid w:val="00D70326"/>
    <w:rsid w:val="00D80935"/>
    <w:rsid w:val="00D8473F"/>
    <w:rsid w:val="00D91904"/>
    <w:rsid w:val="00D97B3F"/>
    <w:rsid w:val="00DA12F2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01EA"/>
    <w:rsid w:val="00E4656D"/>
    <w:rsid w:val="00E524F4"/>
    <w:rsid w:val="00E55BD5"/>
    <w:rsid w:val="00E65510"/>
    <w:rsid w:val="00E71227"/>
    <w:rsid w:val="00E73A0C"/>
    <w:rsid w:val="00E77A62"/>
    <w:rsid w:val="00E8508F"/>
    <w:rsid w:val="00E9506A"/>
    <w:rsid w:val="00E95855"/>
    <w:rsid w:val="00EA61F0"/>
    <w:rsid w:val="00EB21E8"/>
    <w:rsid w:val="00EB5E75"/>
    <w:rsid w:val="00EC43A5"/>
    <w:rsid w:val="00EC467E"/>
    <w:rsid w:val="00EC6FB9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A532D"/>
    <w:rsid w:val="00FD1B21"/>
    <w:rsid w:val="00FD3F31"/>
    <w:rsid w:val="00FD53E1"/>
    <w:rsid w:val="00FD5B9D"/>
    <w:rsid w:val="00FD6B5B"/>
    <w:rsid w:val="00FD7DF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97A086B240B4590BF32B57B4FBCFC31@IMS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621</Words>
  <Characters>5269</Characters>
  <Application>Microsoft Office Word</Application>
  <DocSecurity>0</DocSecurity>
  <Lines>195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17</cp:revision>
  <cp:lastPrinted>2018-06-11T07:22:00Z</cp:lastPrinted>
  <dcterms:created xsi:type="dcterms:W3CDTF">2024-12-17T11:22:00Z</dcterms:created>
  <dcterms:modified xsi:type="dcterms:W3CDTF">2026-01-26T12:26:00Z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