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6444D05B" w14:textId="7FDB45B6" w:rsidR="00124443" w:rsidRDefault="008649A7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C06BEB">
        <w:rPr>
          <w:rFonts w:ascii="Sylfaen" w:hAnsi="Sylfaen" w:cs="Sylfaen"/>
          <w:b/>
          <w:bCs/>
          <w:sz w:val="20"/>
          <w:lang w:val="ka-GE"/>
        </w:rPr>
        <w:t>შპს "კავკასიის მედიცინის ცენტრი"</w:t>
      </w:r>
      <w:r w:rsidRPr="008649A7">
        <w:rPr>
          <w:rFonts w:ascii="Sylfaen" w:hAnsi="Sylfaen" w:cs="Sylfaen"/>
          <w:sz w:val="20"/>
          <w:lang w:val="ka-GE"/>
        </w:rPr>
        <w:t xml:space="preserve"> </w:t>
      </w:r>
      <w:r w:rsidR="00F148B9" w:rsidRPr="008D187E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8D187E">
        <w:rPr>
          <w:rFonts w:ascii="Sylfaen" w:hAnsi="Sylfaen" w:cs="Sylfaen"/>
          <w:sz w:val="20"/>
          <w:lang w:val="ka-GE"/>
        </w:rPr>
        <w:t xml:space="preserve"> პრეტენდენტებს სთავაზობს</w:t>
      </w:r>
      <w:r w:rsidR="00125215" w:rsidRPr="003D50F5">
        <w:rPr>
          <w:rFonts w:ascii="Sylfaen" w:hAnsi="Sylfaen" w:cs="Helvetica"/>
          <w:b/>
          <w:color w:val="333333"/>
          <w:sz w:val="20"/>
          <w:lang w:val="ka-GE"/>
        </w:rPr>
        <w:t xml:space="preserve"> </w:t>
      </w:r>
      <w:r w:rsidR="00931C22">
        <w:rPr>
          <w:rFonts w:ascii="Sylfaen" w:hAnsi="Sylfaen" w:cs="Sylfaen"/>
          <w:sz w:val="20"/>
          <w:lang w:val="ka-GE"/>
        </w:rPr>
        <w:t xml:space="preserve">ტენდერს ამბულატორიულ/სტაციონალური </w:t>
      </w:r>
      <w:r w:rsidR="00CA178A">
        <w:rPr>
          <w:rFonts w:ascii="Sylfaen" w:hAnsi="Sylfaen" w:cs="Sylfaen"/>
          <w:sz w:val="20"/>
          <w:lang w:val="ka-GE"/>
        </w:rPr>
        <w:t xml:space="preserve">დალაგების </w:t>
      </w:r>
      <w:r w:rsidR="00931C22">
        <w:rPr>
          <w:rFonts w:ascii="Sylfaen" w:hAnsi="Sylfaen" w:cs="Sylfaen"/>
          <w:sz w:val="20"/>
          <w:lang w:val="ka-GE"/>
        </w:rPr>
        <w:t xml:space="preserve">ინვენტარის შესყიდვაზე </w:t>
      </w:r>
    </w:p>
    <w:p w14:paraId="78B40259" w14:textId="77777777" w:rsidR="00124443" w:rsidRPr="00124443" w:rsidRDefault="00124443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</w:p>
    <w:p w14:paraId="29401F84" w14:textId="77777777" w:rsidR="00A92E91" w:rsidRPr="008D187E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წინამდებარე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დოკუმენტის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მიზანია</w:t>
      </w:r>
      <w:proofErr w:type="spellEnd"/>
      <w:r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პრეტენდენტს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გან</w:t>
      </w:r>
      <w:proofErr w:type="spellEnd"/>
      <w:r w:rsidR="003C48E8" w:rsidRPr="008D187E">
        <w:rPr>
          <w:rFonts w:ascii="Sylfaen" w:hAnsi="Sylfaen" w:cs="Sylfaen"/>
          <w:sz w:val="20"/>
          <w:lang w:val="ka-GE"/>
        </w:rPr>
        <w:t>ე</w:t>
      </w:r>
      <w:proofErr w:type="spellStart"/>
      <w:r w:rsidRPr="008D187E">
        <w:rPr>
          <w:rFonts w:ascii="Sylfaen" w:hAnsi="Sylfaen" w:cs="Sylfaen"/>
          <w:sz w:val="20"/>
        </w:rPr>
        <w:t>მარტოს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79467D" w:rsidRP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8D187E">
        <w:rPr>
          <w:rFonts w:ascii="Sylfaen" w:hAnsi="Sylfaen" w:cs="Sylfaen"/>
          <w:sz w:val="20"/>
        </w:rPr>
        <w:t>მოთხოვნები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პირობები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8B559B" w:rsidRPr="008D187E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 w:rsidRPr="008D187E">
        <w:rPr>
          <w:rFonts w:ascii="Sylfaen" w:hAnsi="Sylfaen" w:cs="Sylfaen"/>
          <w:sz w:val="20"/>
          <w:lang w:val="ka-GE"/>
        </w:rPr>
        <w:t>წარსადგენად.</w:t>
      </w:r>
    </w:p>
    <w:p w14:paraId="1C05DA9B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349D2680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931C22">
        <w:rPr>
          <w:rFonts w:ascii="Sylfaen" w:hAnsi="Sylfaen" w:cs="Sylfaen"/>
          <w:sz w:val="20"/>
          <w:lang w:val="ka-GE"/>
        </w:rPr>
        <w:t>1</w:t>
      </w:r>
      <w:r w:rsidR="00CA178A">
        <w:rPr>
          <w:rFonts w:ascii="Sylfaen" w:hAnsi="Sylfaen" w:cs="Sylfaen"/>
          <w:sz w:val="20"/>
          <w:lang w:val="ka-GE"/>
        </w:rPr>
        <w:t>5</w:t>
      </w:r>
      <w:r w:rsidR="00124443">
        <w:rPr>
          <w:rFonts w:ascii="Sylfaen" w:hAnsi="Sylfaen" w:cs="Sylfaen"/>
          <w:sz w:val="20"/>
          <w:lang w:val="ka-GE"/>
        </w:rPr>
        <w:t xml:space="preserve"> </w:t>
      </w:r>
      <w:r w:rsidR="00D10014">
        <w:rPr>
          <w:rFonts w:ascii="Sylfaen" w:hAnsi="Sylfaen" w:cs="Sylfaen"/>
          <w:sz w:val="20"/>
          <w:lang w:val="ka-GE"/>
        </w:rPr>
        <w:t>თებერვლის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6480433C" w:rsidR="001213AD" w:rsidRPr="009A10F9" w:rsidRDefault="00CA178A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4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თებერვალი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7A39854F" w:rsidR="001213AD" w:rsidRPr="009A10F9" w:rsidRDefault="00CA178A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15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 xml:space="preserve"> თებერვალი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61D47855" w:rsidR="001213AD" w:rsidRPr="009A10F9" w:rsidRDefault="00CA178A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22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თებერვალი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6A52D9B5" w:rsidR="001213AD" w:rsidRPr="009A10F9" w:rsidRDefault="00931C22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1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მარტი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75CA9BAB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1A519F" w:rsidRPr="001A519F">
        <w:rPr>
          <w:rFonts w:ascii="Sylfaen" w:hAnsi="Sylfaen" w:cs="Sylfaen"/>
          <w:sz w:val="20"/>
          <w:lang w:val="ka-GE"/>
        </w:rPr>
        <w:t>შპს "კავკასიის მედიცინის ცენტრი"</w:t>
      </w:r>
      <w:r w:rsidR="001A519F" w:rsidRPr="008649A7">
        <w:rPr>
          <w:rFonts w:ascii="Sylfaen" w:hAnsi="Sylfaen" w:cs="Sylfaen"/>
          <w:sz w:val="20"/>
          <w:lang w:val="ka-GE"/>
        </w:rPr>
        <w:t xml:space="preserve"> </w:t>
      </w:r>
      <w:r w:rsidR="00125215">
        <w:rPr>
          <w:rFonts w:ascii="Sylfaen" w:hAnsi="Sylfaen" w:cs="Sylfaen"/>
          <w:sz w:val="20"/>
          <w:lang w:val="ka-GE"/>
        </w:rPr>
        <w:t xml:space="preserve">- </w:t>
      </w:r>
      <w:r w:rsidR="0022763C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931C22">
        <w:rPr>
          <w:rFonts w:ascii="Sylfaen" w:hAnsi="Sylfaen" w:cs="Sylfaen"/>
          <w:sz w:val="20"/>
        </w:rPr>
        <w:t>ამბულატორიულ</w:t>
      </w:r>
      <w:proofErr w:type="spellEnd"/>
      <w:r w:rsidR="00931C22">
        <w:rPr>
          <w:rFonts w:ascii="Sylfaen" w:hAnsi="Sylfaen" w:cs="Sylfaen"/>
          <w:sz w:val="20"/>
        </w:rPr>
        <w:t>/</w:t>
      </w:r>
      <w:proofErr w:type="spellStart"/>
      <w:r w:rsidR="00931C22">
        <w:rPr>
          <w:rFonts w:ascii="Sylfaen" w:hAnsi="Sylfaen" w:cs="Sylfaen"/>
          <w:sz w:val="20"/>
        </w:rPr>
        <w:t>სტაციონალური</w:t>
      </w:r>
      <w:proofErr w:type="spellEnd"/>
      <w:r w:rsidR="00931C22">
        <w:rPr>
          <w:rFonts w:ascii="Sylfaen" w:hAnsi="Sylfaen" w:cs="Sylfaen"/>
          <w:sz w:val="20"/>
        </w:rPr>
        <w:t xml:space="preserve"> </w:t>
      </w:r>
      <w:proofErr w:type="spellStart"/>
      <w:r w:rsidR="00931C22">
        <w:rPr>
          <w:rFonts w:ascii="Sylfaen" w:hAnsi="Sylfaen" w:cs="Sylfaen"/>
          <w:sz w:val="20"/>
        </w:rPr>
        <w:t>დალაგების</w:t>
      </w:r>
      <w:proofErr w:type="spellEnd"/>
      <w:r w:rsidR="00931C22">
        <w:rPr>
          <w:rFonts w:ascii="Sylfaen" w:hAnsi="Sylfaen" w:cs="Sylfaen"/>
          <w:sz w:val="20"/>
        </w:rPr>
        <w:t xml:space="preserve"> </w:t>
      </w:r>
      <w:proofErr w:type="spellStart"/>
      <w:r w:rsidR="00931C22">
        <w:rPr>
          <w:rFonts w:ascii="Sylfaen" w:hAnsi="Sylfaen" w:cs="Sylfaen"/>
          <w:sz w:val="20"/>
        </w:rPr>
        <w:t>ინვენტარი</w:t>
      </w:r>
      <w:proofErr w:type="spellEnd"/>
    </w:p>
    <w:p w14:paraId="25E7E1EA" w14:textId="102DF97E" w:rsidR="001F33F7" w:rsidRPr="008D187E" w:rsidRDefault="001F33F7" w:rsidP="00124443">
      <w:pPr>
        <w:pStyle w:val="Header"/>
        <w:jc w:val="left"/>
        <w:rPr>
          <w:rFonts w:ascii="Sylfaen" w:hAnsi="Sylfaen" w:cs="Sylfaen"/>
          <w:sz w:val="20"/>
          <w:lang w:val="ka-GE"/>
        </w:rPr>
      </w:pPr>
    </w:p>
    <w:p w14:paraId="57CB0F01" w14:textId="77777777" w:rsidR="002C6E99" w:rsidRDefault="002C6E99" w:rsidP="00F130B3">
      <w:pPr>
        <w:rPr>
          <w:rFonts w:ascii="Sylfaen" w:hAnsi="Sylfaen" w:cs="Sylfaen"/>
          <w:sz w:val="20"/>
          <w:lang w:val="ka-GE"/>
        </w:rPr>
      </w:pPr>
    </w:p>
    <w:p w14:paraId="4FB35A8B" w14:textId="77777777" w:rsidR="008C33B1" w:rsidRDefault="008C33B1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პროდუქციის მიწოდების ადგილი:  </w:t>
      </w:r>
    </w:p>
    <w:p w14:paraId="13D02F0C" w14:textId="1AAA7AD1" w:rsidR="005076F5" w:rsidRPr="00864C5D" w:rsidRDefault="0014023F" w:rsidP="0014023F">
      <w:pPr>
        <w:pStyle w:val="ListParagraph"/>
        <w:rPr>
          <w:rFonts w:ascii="Sylfaen" w:hAnsi="Sylfaen" w:cs="Sylfaen"/>
          <w:sz w:val="20"/>
          <w:lang w:val="ka-GE"/>
        </w:rPr>
      </w:pPr>
      <w:r w:rsidRPr="0014023F">
        <w:rPr>
          <w:rFonts w:ascii="Sylfaen" w:hAnsi="Sylfaen" w:cs="Sylfaen"/>
          <w:sz w:val="20"/>
          <w:lang w:val="ka-GE"/>
        </w:rPr>
        <w:t>თბილისი, ქავთარაძის ქ.#23</w:t>
      </w:r>
    </w:p>
    <w:p w14:paraId="5C6DC121" w14:textId="23E0CB61" w:rsidR="002C53F2" w:rsidRDefault="002C53F2" w:rsidP="001D2EDB">
      <w:pPr>
        <w:rPr>
          <w:rFonts w:ascii="Sylfaen" w:hAnsi="Sylfaen" w:cs="Sylfaen"/>
          <w:sz w:val="20"/>
          <w:lang w:val="ka-GE"/>
        </w:rPr>
      </w:pPr>
    </w:p>
    <w:p w14:paraId="01E71066" w14:textId="186CD4F6" w:rsidR="003B021A" w:rsidRDefault="003B021A" w:rsidP="001D2EDB">
      <w:pPr>
        <w:rPr>
          <w:rFonts w:ascii="Sylfaen" w:hAnsi="Sylfaen" w:cs="Sylfaen"/>
          <w:sz w:val="20"/>
          <w:lang w:val="ka-GE"/>
        </w:rPr>
      </w:pP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6184734E" w14:textId="152EF05D" w:rsidR="006F15F7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21B49A47" w14:textId="1976F708" w:rsidR="00D237EF" w:rsidRDefault="00D237EF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იმფორმაცია საჭირო ტექნიკური მონაცემების შესახებ-დანართი #5</w:t>
      </w:r>
    </w:p>
    <w:p w14:paraId="1DDD9DF2" w14:textId="4BD6713F" w:rsidR="00D237EF" w:rsidRPr="0038477F" w:rsidRDefault="00D237EF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რაოდენობა და განფასებისთვის საჭირო ექსელი -დანართი#6</w:t>
      </w:r>
    </w:p>
    <w:p w14:paraId="14490906" w14:textId="77777777" w:rsidR="00677AEA" w:rsidRPr="00A81B2D" w:rsidRDefault="00677AEA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776974C0" w:rsidR="00763C5C" w:rsidRPr="009A10F9" w:rsidRDefault="00EB21E8" w:rsidP="00763C5C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931C22">
        <w:rPr>
          <w:rFonts w:ascii="Sylfaen" w:hAnsi="Sylfaen" w:cs="Sylfaen"/>
          <w:sz w:val="20"/>
          <w:lang w:val="ka-GE"/>
        </w:rPr>
        <w:t>1</w:t>
      </w:r>
      <w:r w:rsidR="00CA178A">
        <w:rPr>
          <w:rFonts w:ascii="Sylfaen" w:hAnsi="Sylfaen" w:cs="Sylfaen"/>
          <w:sz w:val="20"/>
          <w:lang w:val="ka-GE"/>
        </w:rPr>
        <w:t>5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763C5C">
        <w:rPr>
          <w:rFonts w:ascii="Sylfaen" w:hAnsi="Sylfaen" w:cs="Sylfaen"/>
          <w:sz w:val="20"/>
          <w:lang w:val="ka-GE"/>
        </w:rPr>
        <w:t>თებერვალი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6970A530" w14:textId="6E02C130" w:rsidR="00100FFC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511 1</w:t>
      </w:r>
      <w:r w:rsidR="00931C22">
        <w:rPr>
          <w:rFonts w:ascii="Sylfaen" w:hAnsi="Sylfaen" w:cs="Sylfaen"/>
          <w:sz w:val="20"/>
          <w:lang w:val="ka-GE"/>
        </w:rPr>
        <w:t>3-07-38</w:t>
      </w:r>
      <w:r w:rsidR="009D3143">
        <w:rPr>
          <w:rFonts w:ascii="Sylfaen" w:hAnsi="Sylfaen" w:cs="Sylfaen"/>
          <w:sz w:val="20"/>
          <w:lang w:val="ka-GE"/>
        </w:rPr>
        <w:t xml:space="preserve"> უჩა </w:t>
      </w:r>
      <w:r w:rsidR="0011045D">
        <w:rPr>
          <w:rFonts w:ascii="Sylfaen" w:hAnsi="Sylfaen" w:cs="Sylfaen"/>
          <w:sz w:val="20"/>
          <w:lang w:val="ka-GE"/>
        </w:rPr>
        <w:t>ლარცულიანი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CFCC" w14:textId="77777777" w:rsidR="00474CC2" w:rsidRDefault="00474CC2">
      <w:r>
        <w:separator/>
      </w:r>
    </w:p>
  </w:endnote>
  <w:endnote w:type="continuationSeparator" w:id="0">
    <w:p w14:paraId="7E1D0DB7" w14:textId="77777777" w:rsidR="00474CC2" w:rsidRDefault="004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58D2" w14:textId="77777777" w:rsidR="00474CC2" w:rsidRDefault="00474CC2">
      <w:r>
        <w:separator/>
      </w:r>
    </w:p>
  </w:footnote>
  <w:footnote w:type="continuationSeparator" w:id="0">
    <w:p w14:paraId="5A0C8F1B" w14:textId="77777777" w:rsidR="00474CC2" w:rsidRDefault="0047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65D91340" w14:textId="77777777" w:rsidR="00CA178A" w:rsidRDefault="00931C22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 xml:space="preserve">შპს ,,კავკასიის მედიცინის ცენტრი’’ აცხადებს ტენდერს ამბულატორიულ/სტაციონალური </w:t>
          </w:r>
          <w:r w:rsidR="00CA178A">
            <w:rPr>
              <w:rFonts w:ascii="Sylfaen" w:hAnsi="Sylfaen" w:cs="Sylfaen"/>
              <w:sz w:val="20"/>
              <w:lang w:val="ka-GE"/>
            </w:rPr>
            <w:t xml:space="preserve">დალაგების </w:t>
          </w:r>
        </w:p>
        <w:p w14:paraId="7C7EB52C" w14:textId="31D8D110" w:rsidR="006B056D" w:rsidRPr="00124443" w:rsidRDefault="00931C22" w:rsidP="00931C22">
          <w:pPr>
            <w:pStyle w:val="Header"/>
            <w:jc w:val="left"/>
            <w:rPr>
              <w:rFonts w:ascii="Sylfaen" w:hAnsi="Sylfaen" w:cs="Sylfaen"/>
              <w:b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>ინვენტარის შესყიდვაზე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2C6"/>
    <w:rsid w:val="000549DB"/>
    <w:rsid w:val="00055641"/>
    <w:rsid w:val="00056672"/>
    <w:rsid w:val="0005682D"/>
    <w:rsid w:val="00063B36"/>
    <w:rsid w:val="000647CF"/>
    <w:rsid w:val="00065CF9"/>
    <w:rsid w:val="00066363"/>
    <w:rsid w:val="00073A87"/>
    <w:rsid w:val="00081B78"/>
    <w:rsid w:val="0008441E"/>
    <w:rsid w:val="0008534C"/>
    <w:rsid w:val="0008600C"/>
    <w:rsid w:val="00095C28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06377"/>
    <w:rsid w:val="0011045D"/>
    <w:rsid w:val="001213AD"/>
    <w:rsid w:val="00124443"/>
    <w:rsid w:val="00124DD5"/>
    <w:rsid w:val="00125215"/>
    <w:rsid w:val="0013166D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A5C81"/>
    <w:rsid w:val="003B021A"/>
    <w:rsid w:val="003B179C"/>
    <w:rsid w:val="003B2A25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617C"/>
    <w:rsid w:val="0043083B"/>
    <w:rsid w:val="00436189"/>
    <w:rsid w:val="004542AF"/>
    <w:rsid w:val="004544EC"/>
    <w:rsid w:val="004641AE"/>
    <w:rsid w:val="004743D3"/>
    <w:rsid w:val="00474CC2"/>
    <w:rsid w:val="00476E6E"/>
    <w:rsid w:val="004808EA"/>
    <w:rsid w:val="0049003F"/>
    <w:rsid w:val="00490373"/>
    <w:rsid w:val="0049751A"/>
    <w:rsid w:val="00497B7F"/>
    <w:rsid w:val="004A20C6"/>
    <w:rsid w:val="004B5058"/>
    <w:rsid w:val="004C14B2"/>
    <w:rsid w:val="004C228A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24B6"/>
    <w:rsid w:val="00554339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4E5A"/>
    <w:rsid w:val="0074679A"/>
    <w:rsid w:val="0075353F"/>
    <w:rsid w:val="00760524"/>
    <w:rsid w:val="00760BBB"/>
    <w:rsid w:val="007634BF"/>
    <w:rsid w:val="00763C5C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B0757"/>
    <w:rsid w:val="007B2D69"/>
    <w:rsid w:val="007C204A"/>
    <w:rsid w:val="007C4162"/>
    <w:rsid w:val="007D2DC5"/>
    <w:rsid w:val="007E1716"/>
    <w:rsid w:val="007E1D6F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4B4A"/>
    <w:rsid w:val="008561E9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272F2"/>
    <w:rsid w:val="00931C22"/>
    <w:rsid w:val="00933DFC"/>
    <w:rsid w:val="00934042"/>
    <w:rsid w:val="009354B6"/>
    <w:rsid w:val="00942F2A"/>
    <w:rsid w:val="00943AEA"/>
    <w:rsid w:val="00946D09"/>
    <w:rsid w:val="00946E54"/>
    <w:rsid w:val="009570CB"/>
    <w:rsid w:val="00961529"/>
    <w:rsid w:val="009712B3"/>
    <w:rsid w:val="009743CF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143"/>
    <w:rsid w:val="009D32A2"/>
    <w:rsid w:val="009D4C4E"/>
    <w:rsid w:val="009E2912"/>
    <w:rsid w:val="009E38BF"/>
    <w:rsid w:val="009E62E1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2CEC"/>
    <w:rsid w:val="00AB3738"/>
    <w:rsid w:val="00AB4E17"/>
    <w:rsid w:val="00AB6A9F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3101"/>
    <w:rsid w:val="00B17343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6BB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6057A"/>
    <w:rsid w:val="00C606AE"/>
    <w:rsid w:val="00C63B85"/>
    <w:rsid w:val="00C64ED3"/>
    <w:rsid w:val="00C75CD2"/>
    <w:rsid w:val="00C801BE"/>
    <w:rsid w:val="00C838C4"/>
    <w:rsid w:val="00C9235C"/>
    <w:rsid w:val="00C977B0"/>
    <w:rsid w:val="00CA015A"/>
    <w:rsid w:val="00CA1028"/>
    <w:rsid w:val="00CA178A"/>
    <w:rsid w:val="00CA4F6A"/>
    <w:rsid w:val="00CA714B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35D6"/>
    <w:rsid w:val="00DB4DA1"/>
    <w:rsid w:val="00DD29F5"/>
    <w:rsid w:val="00DD5C81"/>
    <w:rsid w:val="00DD603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656D"/>
    <w:rsid w:val="00E474A3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42A"/>
    <w:rsid w:val="00F90394"/>
    <w:rsid w:val="00FD1B21"/>
    <w:rsid w:val="00FD3F31"/>
    <w:rsid w:val="00FD53E1"/>
    <w:rsid w:val="00FE44AB"/>
    <w:rsid w:val="00FE5513"/>
    <w:rsid w:val="00FF001C"/>
    <w:rsid w:val="00FF0415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5496</Characters>
  <Application>Microsoft Office Word</Application>
  <DocSecurity>0</DocSecurity>
  <Lines>203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Tornike Tkeshelashvili</cp:lastModifiedBy>
  <cp:revision>2</cp:revision>
  <cp:lastPrinted>2018-06-11T07:22:00Z</cp:lastPrinted>
  <dcterms:created xsi:type="dcterms:W3CDTF">2026-02-03T14:50:00Z</dcterms:created>
  <dcterms:modified xsi:type="dcterms:W3CDTF">2026-02-03T14:50:00Z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