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71562E40"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655533">
                                  <w:rPr>
                                    <w:rFonts w:cs="Arial"/>
                                    <w:b/>
                                    <w:color w:val="auto"/>
                                    <w:sz w:val="40"/>
                                    <w:szCs w:val="56"/>
                                    <w:lang w:val="ka-GE"/>
                                  </w:rPr>
                                  <w:t xml:space="preserve">უწყვეტი კვების </w:t>
                                </w:r>
                                <w:r w:rsidR="0023166F">
                                  <w:rPr>
                                    <w:rFonts w:cs="Arial"/>
                                    <w:b/>
                                    <w:color w:val="auto"/>
                                    <w:sz w:val="40"/>
                                    <w:szCs w:val="56"/>
                                    <w:lang w:val="ka-GE"/>
                                  </w:rPr>
                                  <w:t>წყაროს</w:t>
                                </w:r>
                                <w:r w:rsidR="008141DA">
                                  <w:rPr>
                                    <w:rFonts w:cs="Arial"/>
                                    <w:b/>
                                    <w:color w:val="auto"/>
                                    <w:sz w:val="40"/>
                                    <w:szCs w:val="56"/>
                                    <w:lang w:val="ka-GE"/>
                                  </w:rPr>
                                  <w:t xml:space="preserve"> (</w:t>
                                </w:r>
                                <w:r w:rsidR="00655533">
                                  <w:rPr>
                                    <w:rFonts w:cs="Arial"/>
                                    <w:b/>
                                    <w:color w:val="auto"/>
                                    <w:sz w:val="40"/>
                                    <w:szCs w:val="56"/>
                                  </w:rPr>
                                  <w:t>UPS</w:t>
                                </w:r>
                                <w:r w:rsidR="008141DA">
                                  <w:rPr>
                                    <w:rFonts w:cs="Arial"/>
                                    <w:b/>
                                    <w:color w:val="auto"/>
                                    <w:sz w:val="40"/>
                                    <w:szCs w:val="56"/>
                                    <w:lang w:val="ka-GE"/>
                                  </w:rPr>
                                  <w:t>)</w:t>
                                </w:r>
                                <w:r w:rsidR="00B9072A">
                                  <w:rPr>
                                    <w:rFonts w:cs="Arial"/>
                                    <w:b/>
                                    <w:color w:val="auto"/>
                                    <w:sz w:val="40"/>
                                    <w:szCs w:val="56"/>
                                  </w:rPr>
                                  <w:t xml:space="preserve"> შესყიდვისთვის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71562E40"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655533">
                            <w:rPr>
                              <w:rFonts w:cs="Arial"/>
                              <w:b/>
                              <w:color w:val="auto"/>
                              <w:sz w:val="40"/>
                              <w:szCs w:val="56"/>
                              <w:lang w:val="ka-GE"/>
                            </w:rPr>
                            <w:t xml:space="preserve">უწყვეტი კვების </w:t>
                          </w:r>
                          <w:r w:rsidR="0023166F">
                            <w:rPr>
                              <w:rFonts w:cs="Arial"/>
                              <w:b/>
                              <w:color w:val="auto"/>
                              <w:sz w:val="40"/>
                              <w:szCs w:val="56"/>
                              <w:lang w:val="ka-GE"/>
                            </w:rPr>
                            <w:t>წყაროს</w:t>
                          </w:r>
                          <w:r w:rsidR="008141DA">
                            <w:rPr>
                              <w:rFonts w:cs="Arial"/>
                              <w:b/>
                              <w:color w:val="auto"/>
                              <w:sz w:val="40"/>
                              <w:szCs w:val="56"/>
                              <w:lang w:val="ka-GE"/>
                            </w:rPr>
                            <w:t xml:space="preserve"> (</w:t>
                          </w:r>
                          <w:r w:rsidR="00655533">
                            <w:rPr>
                              <w:rFonts w:cs="Arial"/>
                              <w:b/>
                              <w:color w:val="auto"/>
                              <w:sz w:val="40"/>
                              <w:szCs w:val="56"/>
                            </w:rPr>
                            <w:t>UPS</w:t>
                          </w:r>
                          <w:r w:rsidR="008141DA">
                            <w:rPr>
                              <w:rFonts w:cs="Arial"/>
                              <w:b/>
                              <w:color w:val="auto"/>
                              <w:sz w:val="40"/>
                              <w:szCs w:val="56"/>
                              <w:lang w:val="ka-GE"/>
                            </w:rPr>
                            <w:t>)</w:t>
                          </w:r>
                          <w:r w:rsidR="00B9072A">
                            <w:rPr>
                              <w:rFonts w:cs="Arial"/>
                              <w:b/>
                              <w:color w:val="auto"/>
                              <w:sz w:val="40"/>
                              <w:szCs w:val="56"/>
                            </w:rPr>
                            <w:t xml:space="preserve"> შესყიდვისთვის</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83AAA60" w14:textId="07D4D425" w:rsidR="006E0C9C" w:rsidRDefault="0023166F" w:rsidP="00CB44B3">
                                      <w:pPr>
                                        <w:rPr>
                                          <w:lang w:val="ka-GE"/>
                                        </w:rPr>
                                      </w:pPr>
                                      <w:r>
                                        <w:rPr>
                                          <w:lang w:val="ka-GE"/>
                                        </w:rPr>
                                        <w:t>12</w:t>
                                      </w:r>
                                      <w:r w:rsidR="006E0C9C">
                                        <w:rPr>
                                          <w:lang w:val="ka-GE"/>
                                        </w:rPr>
                                        <w:t xml:space="preserve"> </w:t>
                                      </w:r>
                                      <w:r>
                                        <w:rPr>
                                          <w:lang w:val="ka-GE"/>
                                        </w:rPr>
                                        <w:t>თებერვალი</w:t>
                                      </w:r>
                                      <w:r w:rsidR="006E0C9C">
                                        <w:rPr>
                                          <w:lang w:val="ka-GE"/>
                                        </w:rPr>
                                        <w:t xml:space="preserve"> </w:t>
                                      </w:r>
                                      <w:r w:rsidR="0041678D">
                                        <w:rPr>
                                          <w:lang w:val="ka-GE"/>
                                        </w:rPr>
                                        <w:t>202</w:t>
                                      </w:r>
                                      <w:r>
                                        <w:rPr>
                                          <w:lang w:val="ka-GE"/>
                                        </w:rPr>
                                        <w:t>6</w:t>
                                      </w:r>
                                    </w:p>
                                    <w:p w14:paraId="5273460A" w14:textId="72AD8548" w:rsidR="0041678D" w:rsidRPr="00415C7C" w:rsidRDefault="0023166F" w:rsidP="00CB44B3">
                                      <w:pPr>
                                        <w:rPr>
                                          <w:lang w:val="ka-GE"/>
                                        </w:rPr>
                                      </w:pPr>
                                      <w:r>
                                        <w:rPr>
                                          <w:lang w:val="ka-GE"/>
                                        </w:rPr>
                                        <w:t>18</w:t>
                                      </w:r>
                                      <w:r w:rsidR="006E0C9C">
                                        <w:rPr>
                                          <w:lang w:val="ka-GE"/>
                                        </w:rPr>
                                        <w:t xml:space="preserve"> თებერვალ</w:t>
                                      </w:r>
                                      <w:r w:rsidR="00CB44B3">
                                        <w:rPr>
                                          <w:lang w:val="ka-GE"/>
                                        </w:rPr>
                                        <w:t>ი</w:t>
                                      </w:r>
                                      <w:r w:rsidR="004E6505">
                                        <w:rPr>
                                          <w:lang w:val="ka-GE"/>
                                        </w:rPr>
                                        <w:t xml:space="preserve"> </w:t>
                                      </w:r>
                                      <w:r w:rsidR="0041678D">
                                        <w:rPr>
                                          <w:lang w:val="ka-GE"/>
                                        </w:rPr>
                                        <w:t>202</w:t>
                                      </w:r>
                                      <w:r>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9" w:history="1">
                                        <w:r w:rsidRPr="00E23EEE">
                                          <w:rPr>
                                            <w:rStyle w:val="Hyperlink"/>
                                          </w:rPr>
                                          <w:t>astepnadze@bog.ge</w:t>
                                        </w:r>
                                      </w:hyperlink>
                                      <w:r>
                                        <w:t xml:space="preserve"> </w:t>
                                      </w:r>
                                      <w:hyperlink r:id="rId10" w:history="1"/>
                                    </w:p>
                                    <w:p w14:paraId="2D516649" w14:textId="2F5A8597" w:rsidR="0041678D" w:rsidRPr="0041678D"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83AAA60" w14:textId="07D4D425" w:rsidR="006E0C9C" w:rsidRDefault="0023166F" w:rsidP="00CB44B3">
                                <w:pPr>
                                  <w:rPr>
                                    <w:lang w:val="ka-GE"/>
                                  </w:rPr>
                                </w:pPr>
                                <w:r>
                                  <w:rPr>
                                    <w:lang w:val="ka-GE"/>
                                  </w:rPr>
                                  <w:t>12</w:t>
                                </w:r>
                                <w:r w:rsidR="006E0C9C">
                                  <w:rPr>
                                    <w:lang w:val="ka-GE"/>
                                  </w:rPr>
                                  <w:t xml:space="preserve"> </w:t>
                                </w:r>
                                <w:r>
                                  <w:rPr>
                                    <w:lang w:val="ka-GE"/>
                                  </w:rPr>
                                  <w:t>თებერვალი</w:t>
                                </w:r>
                                <w:r w:rsidR="006E0C9C">
                                  <w:rPr>
                                    <w:lang w:val="ka-GE"/>
                                  </w:rPr>
                                  <w:t xml:space="preserve"> </w:t>
                                </w:r>
                                <w:r w:rsidR="0041678D">
                                  <w:rPr>
                                    <w:lang w:val="ka-GE"/>
                                  </w:rPr>
                                  <w:t>202</w:t>
                                </w:r>
                                <w:r>
                                  <w:rPr>
                                    <w:lang w:val="ka-GE"/>
                                  </w:rPr>
                                  <w:t>6</w:t>
                                </w:r>
                              </w:p>
                              <w:p w14:paraId="5273460A" w14:textId="72AD8548" w:rsidR="0041678D" w:rsidRPr="00415C7C" w:rsidRDefault="0023166F" w:rsidP="00CB44B3">
                                <w:pPr>
                                  <w:rPr>
                                    <w:lang w:val="ka-GE"/>
                                  </w:rPr>
                                </w:pPr>
                                <w:r>
                                  <w:rPr>
                                    <w:lang w:val="ka-GE"/>
                                  </w:rPr>
                                  <w:t>18</w:t>
                                </w:r>
                                <w:r w:rsidR="006E0C9C">
                                  <w:rPr>
                                    <w:lang w:val="ka-GE"/>
                                  </w:rPr>
                                  <w:t xml:space="preserve"> თებერვალ</w:t>
                                </w:r>
                                <w:r w:rsidR="00CB44B3">
                                  <w:rPr>
                                    <w:lang w:val="ka-GE"/>
                                  </w:rPr>
                                  <w:t>ი</w:t>
                                </w:r>
                                <w:r w:rsidR="004E6505">
                                  <w:rPr>
                                    <w:lang w:val="ka-GE"/>
                                  </w:rPr>
                                  <w:t xml:space="preserve"> </w:t>
                                </w:r>
                                <w:r w:rsidR="0041678D">
                                  <w:rPr>
                                    <w:lang w:val="ka-GE"/>
                                  </w:rPr>
                                  <w:t>202</w:t>
                                </w:r>
                                <w:r>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11" w:history="1">
                                  <w:r w:rsidRPr="00E23EEE">
                                    <w:rPr>
                                      <w:rStyle w:val="Hyperlink"/>
                                    </w:rPr>
                                    <w:t>astepnadze@bog.ge</w:t>
                                  </w:r>
                                </w:hyperlink>
                                <w:r>
                                  <w:t xml:space="preserve"> </w:t>
                                </w:r>
                                <w:hyperlink r:id="rId12" w:history="1"/>
                              </w:p>
                              <w:p w14:paraId="2D516649" w14:textId="2F5A8597" w:rsidR="0041678D" w:rsidRPr="0041678D"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180E5041" w14:textId="39B69FD3" w:rsidR="00DE53CA" w:rsidRPr="00242E68" w:rsidRDefault="0023166F" w:rsidP="00DE53CA">
      <w:pPr>
        <w:jc w:val="center"/>
        <w:rPr>
          <w:b/>
          <w:color w:val="E36C0A" w:themeColor="accent6" w:themeShade="BF"/>
          <w:sz w:val="44"/>
          <w:szCs w:val="56"/>
          <w:lang w:val="ka-GE"/>
        </w:rPr>
      </w:pPr>
      <w:r>
        <w:rPr>
          <w:rFonts w:cs="Arial"/>
          <w:b/>
          <w:color w:val="auto"/>
          <w:sz w:val="40"/>
          <w:szCs w:val="56"/>
          <w:lang w:val="ka-GE"/>
        </w:rPr>
        <w:t>ტენდერი</w:t>
      </w:r>
      <w:r>
        <w:rPr>
          <w:rFonts w:cs="Arial"/>
          <w:b/>
          <w:color w:val="auto"/>
          <w:sz w:val="40"/>
          <w:szCs w:val="56"/>
          <w:lang w:val="af-ZA"/>
        </w:rPr>
        <w:t xml:space="preserve"> </w:t>
      </w:r>
      <w:r>
        <w:rPr>
          <w:rFonts w:cs="Arial"/>
          <w:b/>
          <w:color w:val="auto"/>
          <w:sz w:val="40"/>
          <w:szCs w:val="56"/>
          <w:lang w:val="ka-GE"/>
        </w:rPr>
        <w:t>უწყვეტი კვების წყაროს (</w:t>
      </w:r>
      <w:r>
        <w:rPr>
          <w:rFonts w:cs="Arial"/>
          <w:b/>
          <w:color w:val="auto"/>
          <w:sz w:val="40"/>
          <w:szCs w:val="56"/>
        </w:rPr>
        <w:t>UPS</w:t>
      </w:r>
      <w:r>
        <w:rPr>
          <w:rFonts w:cs="Arial"/>
          <w:b/>
          <w:color w:val="auto"/>
          <w:sz w:val="40"/>
          <w:szCs w:val="56"/>
          <w:lang w:val="ka-GE"/>
        </w:rPr>
        <w:t>)</w:t>
      </w:r>
      <w:r>
        <w:rPr>
          <w:rFonts w:cs="Arial"/>
          <w:b/>
          <w:color w:val="auto"/>
          <w:sz w:val="40"/>
          <w:szCs w:val="56"/>
        </w:rPr>
        <w:t xml:space="preserve"> </w:t>
      </w:r>
      <w:proofErr w:type="spellStart"/>
      <w:r>
        <w:rPr>
          <w:rFonts w:cs="Arial"/>
          <w:b/>
          <w:color w:val="auto"/>
          <w:sz w:val="40"/>
          <w:szCs w:val="56"/>
        </w:rPr>
        <w:t>შესყიდვისთვის</w:t>
      </w:r>
      <w:proofErr w:type="spellEnd"/>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7E3709">
          <w:pPr>
            <w:pStyle w:val="TOC1"/>
            <w:rPr>
              <w:rFonts w:asciiTheme="minorHAnsi" w:eastAsiaTheme="minorEastAsia" w:hAnsiTheme="minorHAnsi"/>
              <w:noProof/>
              <w:color w:val="auto"/>
              <w:sz w:val="22"/>
              <w:szCs w:val="22"/>
            </w:rPr>
          </w:pPr>
          <w:hyperlink w:anchor="_Toc22227846" w:history="1">
            <w:r w:rsidRPr="00B02D2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_Toc22227846 \h </w:instrText>
            </w:r>
            <w:r>
              <w:rPr>
                <w:noProof/>
                <w:webHidden/>
              </w:rPr>
            </w:r>
            <w:r>
              <w:rPr>
                <w:noProof/>
                <w:webHidden/>
              </w:rPr>
              <w:fldChar w:fldCharType="separate"/>
            </w:r>
            <w:r w:rsidR="00647F5F">
              <w:rPr>
                <w:noProof/>
                <w:webHidden/>
              </w:rPr>
              <w:t>2</w:t>
            </w:r>
            <w:r>
              <w:rPr>
                <w:noProof/>
                <w:webHidden/>
              </w:rPr>
              <w:fldChar w:fldCharType="end"/>
            </w:r>
          </w:hyperlink>
        </w:p>
        <w:p w14:paraId="16989D11" w14:textId="77777777" w:rsidR="007E3709" w:rsidRDefault="007E3709">
          <w:pPr>
            <w:pStyle w:val="TOC1"/>
            <w:rPr>
              <w:rFonts w:asciiTheme="minorHAnsi" w:eastAsiaTheme="minorEastAsia" w:hAnsiTheme="minorHAnsi"/>
              <w:noProof/>
              <w:color w:val="auto"/>
              <w:sz w:val="22"/>
              <w:szCs w:val="22"/>
            </w:rPr>
          </w:pPr>
          <w:hyperlink w:anchor="_Toc22227847" w:history="1">
            <w:r w:rsidRPr="00B02D2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_Toc22227847 \h </w:instrText>
            </w:r>
            <w:r>
              <w:rPr>
                <w:noProof/>
                <w:webHidden/>
              </w:rPr>
            </w:r>
            <w:r>
              <w:rPr>
                <w:noProof/>
                <w:webHidden/>
              </w:rPr>
              <w:fldChar w:fldCharType="separate"/>
            </w:r>
            <w:r w:rsidR="00647F5F">
              <w:rPr>
                <w:noProof/>
                <w:webHidden/>
              </w:rPr>
              <w:t>3</w:t>
            </w:r>
            <w:r>
              <w:rPr>
                <w:noProof/>
                <w:webHidden/>
              </w:rPr>
              <w:fldChar w:fldCharType="end"/>
            </w:r>
          </w:hyperlink>
        </w:p>
        <w:p w14:paraId="77CE58FC" w14:textId="77777777" w:rsidR="007E3709" w:rsidRDefault="007E3709">
          <w:pPr>
            <w:pStyle w:val="TOC1"/>
            <w:rPr>
              <w:rFonts w:asciiTheme="minorHAnsi" w:eastAsiaTheme="minorEastAsia" w:hAnsiTheme="minorHAnsi"/>
              <w:noProof/>
              <w:color w:val="auto"/>
              <w:sz w:val="22"/>
              <w:szCs w:val="22"/>
            </w:rPr>
          </w:pPr>
          <w:hyperlink w:anchor="_Toc22227848" w:history="1">
            <w:r w:rsidRPr="00B02D2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_Toc22227848 \h </w:instrText>
            </w:r>
            <w:r>
              <w:rPr>
                <w:noProof/>
                <w:webHidden/>
              </w:rPr>
            </w:r>
            <w:r>
              <w:rPr>
                <w:noProof/>
                <w:webHidden/>
              </w:rPr>
              <w:fldChar w:fldCharType="separate"/>
            </w:r>
            <w:r w:rsidR="00647F5F">
              <w:rPr>
                <w:noProof/>
                <w:webHidden/>
              </w:rPr>
              <w:t>4</w:t>
            </w:r>
            <w:r>
              <w:rPr>
                <w:noProof/>
                <w:webHidden/>
              </w:rPr>
              <w:fldChar w:fldCharType="end"/>
            </w:r>
          </w:hyperlink>
        </w:p>
        <w:p w14:paraId="4238A426" w14:textId="77777777" w:rsidR="007E3709" w:rsidRDefault="007E3709">
          <w:pPr>
            <w:pStyle w:val="TOC1"/>
            <w:rPr>
              <w:rFonts w:asciiTheme="minorHAnsi" w:eastAsiaTheme="minorEastAsia" w:hAnsiTheme="minorHAnsi"/>
              <w:noProof/>
              <w:color w:val="auto"/>
              <w:sz w:val="22"/>
              <w:szCs w:val="22"/>
            </w:rPr>
          </w:pPr>
          <w:hyperlink w:anchor="_Toc22227849" w:history="1">
            <w:r w:rsidRPr="00B02D2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_Toc22227849 \h </w:instrText>
            </w:r>
            <w:r>
              <w:rPr>
                <w:noProof/>
                <w:webHidden/>
              </w:rPr>
            </w:r>
            <w:r>
              <w:rPr>
                <w:noProof/>
                <w:webHidden/>
              </w:rPr>
              <w:fldChar w:fldCharType="separate"/>
            </w:r>
            <w:r w:rsidR="00647F5F">
              <w:rPr>
                <w:noProof/>
                <w:webHidden/>
              </w:rPr>
              <w:t>5</w:t>
            </w:r>
            <w:r>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სისტემაში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ატვირთონ</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დოკუმენტაციით</w:t>
      </w:r>
      <w:r w:rsidRPr="0041678D">
        <w:rPr>
          <w:rFonts w:ascii="Arial" w:eastAsia="Times New Roman" w:hAnsi="Arial" w:cs="Arial"/>
          <w:color w:val="141B3D"/>
        </w:rPr>
        <w:t xml:space="preserve"> </w:t>
      </w:r>
      <w:r w:rsidRPr="0041678D">
        <w:rPr>
          <w:rFonts w:eastAsia="Times New Roman" w:cs="Sylfaen"/>
          <w:color w:val="141B3D"/>
        </w:rPr>
        <w:t>მოთხოვნილი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განმავლობაში</w:t>
      </w:r>
      <w:r w:rsidRPr="0041678D">
        <w:rPr>
          <w:rFonts w:ascii="Arial" w:eastAsia="Times New Roman" w:hAnsi="Arial" w:cs="Arial"/>
          <w:color w:val="141B3D"/>
        </w:rPr>
        <w:t xml:space="preserve"> </w:t>
      </w:r>
      <w:r w:rsidRPr="0041678D">
        <w:rPr>
          <w:rFonts w:eastAsia="Times New Roman" w:cs="Sylfaen"/>
          <w:color w:val="141B3D"/>
        </w:rPr>
        <w:t>დამატებითი</w:t>
      </w:r>
      <w:r w:rsidRPr="0041678D">
        <w:rPr>
          <w:rFonts w:ascii="Arial" w:eastAsia="Times New Roman" w:hAnsi="Arial" w:cs="Arial"/>
          <w:color w:val="141B3D"/>
        </w:rPr>
        <w:t xml:space="preserve"> </w:t>
      </w:r>
      <w:r w:rsidRPr="0041678D">
        <w:rPr>
          <w:rFonts w:eastAsia="Times New Roman" w:cs="Sylfaen"/>
          <w:color w:val="141B3D"/>
        </w:rPr>
        <w:t>ინფორმაციის</w:t>
      </w:r>
      <w:r w:rsidRPr="0041678D">
        <w:rPr>
          <w:rFonts w:ascii="Arial" w:eastAsia="Times New Roman" w:hAnsi="Arial" w:cs="Arial"/>
          <w:color w:val="141B3D"/>
        </w:rPr>
        <w:t xml:space="preserve"> </w:t>
      </w:r>
      <w:r w:rsidRPr="0041678D">
        <w:rPr>
          <w:rFonts w:eastAsia="Times New Roman" w:cs="Sylfaen"/>
          <w:color w:val="141B3D"/>
        </w:rPr>
        <w:t>მოპოვება</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დაზუსტება</w:t>
      </w:r>
      <w:r w:rsidRPr="0041678D">
        <w:rPr>
          <w:rFonts w:ascii="Arial" w:eastAsia="Times New Roman" w:hAnsi="Arial" w:cs="Arial"/>
          <w:color w:val="141B3D"/>
        </w:rPr>
        <w:t xml:space="preserve"> </w:t>
      </w:r>
      <w:r w:rsidRPr="0041678D">
        <w:rPr>
          <w:rFonts w:eastAsia="Times New Roman" w:cs="Sylfaen"/>
          <w:color w:val="141B3D"/>
        </w:rPr>
        <w:t>შესაძლებელია</w:t>
      </w:r>
      <w:r w:rsidRPr="0041678D">
        <w:rPr>
          <w:rFonts w:ascii="Arial" w:eastAsia="Times New Roman" w:hAnsi="Arial" w:cs="Arial"/>
          <w:color w:val="141B3D"/>
        </w:rPr>
        <w:t xml:space="preserve"> </w:t>
      </w:r>
      <w:r w:rsidRPr="0041678D">
        <w:rPr>
          <w:rFonts w:eastAsia="Times New Roman" w:cs="Sylfaen"/>
          <w:color w:val="141B3D"/>
        </w:rPr>
        <w:t>საკონტაქტო</w:t>
      </w:r>
      <w:r w:rsidRPr="0041678D">
        <w:rPr>
          <w:rFonts w:ascii="Arial" w:eastAsia="Times New Roman" w:hAnsi="Arial" w:cs="Arial"/>
          <w:color w:val="141B3D"/>
        </w:rPr>
        <w:t xml:space="preserve"> </w:t>
      </w:r>
      <w:r w:rsidRPr="0041678D">
        <w:rPr>
          <w:rFonts w:eastAsia="Times New Roman" w:cs="Sylfaen"/>
          <w:color w:val="141B3D"/>
        </w:rPr>
        <w:t>პირთან</w:t>
      </w:r>
      <w:r w:rsidRPr="0041678D">
        <w:rPr>
          <w:rFonts w:ascii="Arial" w:eastAsia="Times New Roman" w:hAnsi="Arial" w:cs="Arial"/>
          <w:color w:val="141B3D"/>
        </w:rPr>
        <w:t xml:space="preserve"> </w:t>
      </w:r>
      <w:r w:rsidRPr="0041678D">
        <w:rPr>
          <w:rFonts w:eastAsia="Times New Roman" w:cs="Sylfaen"/>
          <w:color w:val="141B3D"/>
        </w:rPr>
        <w:t>დაკავშირებით</w:t>
      </w:r>
      <w:r w:rsidRPr="0041678D">
        <w:rPr>
          <w:rFonts w:ascii="Arial" w:eastAsia="Times New Roman" w:hAnsi="Arial" w:cs="Arial"/>
          <w:color w:val="141B3D"/>
        </w:rPr>
        <w:t xml:space="preserve"> </w:t>
      </w:r>
      <w:r w:rsidRPr="0041678D">
        <w:rPr>
          <w:rFonts w:eastAsia="Times New Roman" w:cs="Sylfaen"/>
          <w:color w:val="141B3D"/>
        </w:rPr>
        <w:t>ელექტონული</w:t>
      </w:r>
      <w:r w:rsidRPr="0041678D">
        <w:rPr>
          <w:rFonts w:ascii="Arial" w:eastAsia="Times New Roman" w:hAnsi="Arial" w:cs="Arial"/>
          <w:color w:val="141B3D"/>
        </w:rPr>
        <w:t xml:space="preserve"> </w:t>
      </w:r>
      <w:r w:rsidRPr="0041678D">
        <w:rPr>
          <w:rFonts w:eastAsia="Times New Roman" w:cs="Sylfaen"/>
          <w:color w:val="141B3D"/>
        </w:rPr>
        <w:t>ფოსტის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ტელეფონის</w:t>
      </w:r>
      <w:r w:rsidRPr="0041678D">
        <w:rPr>
          <w:rFonts w:ascii="Arial" w:eastAsia="Times New Roman" w:hAnsi="Arial" w:cs="Arial"/>
          <w:color w:val="141B3D"/>
        </w:rPr>
        <w:t xml:space="preserve"> </w:t>
      </w:r>
      <w:r w:rsidRPr="0041678D">
        <w:rPr>
          <w:rFonts w:eastAsia="Times New Roman" w:cs="Sylfaen"/>
          <w:color w:val="141B3D"/>
        </w:rPr>
        <w:t>საშუალებით</w:t>
      </w:r>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დასრულების</w:t>
      </w:r>
      <w:r w:rsidRPr="0041678D">
        <w:rPr>
          <w:rFonts w:ascii="Arial" w:eastAsia="Times New Roman" w:hAnsi="Arial" w:cs="Arial"/>
          <w:color w:val="141B3D"/>
        </w:rPr>
        <w:t xml:space="preserve"> </w:t>
      </w:r>
      <w:r w:rsidRPr="0041678D">
        <w:rPr>
          <w:rFonts w:eastAsia="Times New Roman" w:cs="Sylfaen"/>
          <w:color w:val="141B3D"/>
        </w:rPr>
        <w:t>შემდეგ</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კომისია</w:t>
      </w:r>
      <w:r w:rsidRPr="0041678D">
        <w:rPr>
          <w:rFonts w:ascii="Arial" w:eastAsia="Times New Roman" w:hAnsi="Arial" w:cs="Arial"/>
          <w:color w:val="141B3D"/>
        </w:rPr>
        <w:t xml:space="preserve"> </w:t>
      </w:r>
      <w:r w:rsidRPr="0041678D">
        <w:rPr>
          <w:rFonts w:eastAsia="Times New Roman" w:cs="Sylfaen"/>
          <w:color w:val="141B3D"/>
        </w:rPr>
        <w:t>განიხილავს</w:t>
      </w:r>
      <w:r w:rsidRPr="0041678D">
        <w:rPr>
          <w:rFonts w:ascii="Arial" w:eastAsia="Times New Roman" w:hAnsi="Arial" w:cs="Arial"/>
          <w:color w:val="141B3D"/>
        </w:rPr>
        <w:t xml:space="preserve"> </w:t>
      </w:r>
      <w:r w:rsidRPr="0041678D">
        <w:rPr>
          <w:rFonts w:eastAsia="Times New Roman" w:cs="Sylfaen"/>
          <w:color w:val="141B3D"/>
        </w:rPr>
        <w:t>მოწოდებულ</w:t>
      </w:r>
      <w:r w:rsidRPr="0041678D">
        <w:rPr>
          <w:rFonts w:ascii="Arial" w:eastAsia="Times New Roman" w:hAnsi="Arial" w:cs="Arial"/>
          <w:color w:val="141B3D"/>
        </w:rPr>
        <w:t xml:space="preserve"> </w:t>
      </w:r>
      <w:r w:rsidRPr="0041678D">
        <w:rPr>
          <w:rFonts w:eastAsia="Times New Roman" w:cs="Sylfaen"/>
          <w:color w:val="141B3D"/>
        </w:rPr>
        <w:t>ინფორმაციას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გამოავლენს</w:t>
      </w:r>
      <w:r w:rsidRPr="0041678D">
        <w:rPr>
          <w:rFonts w:ascii="Arial" w:eastAsia="Times New Roman" w:hAnsi="Arial" w:cs="Arial"/>
          <w:color w:val="141B3D"/>
        </w:rPr>
        <w:t xml:space="preserve"> </w:t>
      </w:r>
      <w:r w:rsidRPr="0041678D">
        <w:rPr>
          <w:rFonts w:eastAsia="Times New Roman" w:cs="Sylfaen"/>
          <w:color w:val="141B3D"/>
        </w:rPr>
        <w:t>საუკეთესო</w:t>
      </w:r>
      <w:r w:rsidRPr="0041678D">
        <w:rPr>
          <w:rFonts w:ascii="Arial" w:eastAsia="Times New Roman" w:hAnsi="Arial" w:cs="Arial"/>
          <w:color w:val="141B3D"/>
        </w:rPr>
        <w:t xml:space="preserve"> </w:t>
      </w:r>
      <w:r w:rsidRPr="0041678D">
        <w:rPr>
          <w:rFonts w:eastAsia="Times New Roman" w:cs="Sylfaen"/>
          <w:color w:val="141B3D"/>
        </w:rPr>
        <w:t>პირობების</w:t>
      </w:r>
      <w:r w:rsidRPr="0041678D">
        <w:rPr>
          <w:rFonts w:ascii="Arial" w:eastAsia="Times New Roman" w:hAnsi="Arial" w:cs="Arial"/>
          <w:color w:val="141B3D"/>
        </w:rPr>
        <w:t xml:space="preserve"> </w:t>
      </w:r>
      <w:r w:rsidRPr="0041678D">
        <w:rPr>
          <w:rFonts w:eastAsia="Times New Roman" w:cs="Sylfaen"/>
          <w:color w:val="141B3D"/>
        </w:rPr>
        <w:t>მქონე</w:t>
      </w:r>
      <w:r w:rsidRPr="0041678D">
        <w:rPr>
          <w:rFonts w:ascii="Arial" w:eastAsia="Times New Roman" w:hAnsi="Arial" w:cs="Arial"/>
          <w:color w:val="141B3D"/>
        </w:rPr>
        <w:t xml:space="preserve"> </w:t>
      </w:r>
      <w:r w:rsidRPr="0041678D">
        <w:rPr>
          <w:rFonts w:eastAsia="Times New Roman" w:cs="Sylfaen"/>
          <w:color w:val="141B3D"/>
        </w:rPr>
        <w:t>მომწოდებელს</w:t>
      </w:r>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წინამდებარე</w:t>
      </w:r>
      <w:r w:rsidRPr="0041678D">
        <w:rPr>
          <w:rFonts w:ascii="Arial" w:eastAsia="Times New Roman" w:hAnsi="Arial" w:cs="Arial"/>
          <w:color w:val="141B3D"/>
        </w:rPr>
        <w:t xml:space="preserve"> </w:t>
      </w:r>
      <w:r w:rsidRPr="0041678D">
        <w:rPr>
          <w:rFonts w:eastAsia="Times New Roman" w:cs="Sylfaen"/>
          <w:color w:val="141B3D"/>
        </w:rPr>
        <w:t>დოკუმენტის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 xml:space="preserve"> </w:t>
      </w:r>
      <w:r w:rsidRPr="0041678D">
        <w:rPr>
          <w:rFonts w:eastAsia="Times New Roman" w:cs="Sylfaen"/>
          <w:color w:val="141B3D"/>
        </w:rPr>
        <w:t>შორის</w:t>
      </w:r>
      <w:r w:rsidRPr="0041678D">
        <w:rPr>
          <w:rFonts w:ascii="Arial" w:eastAsia="Times New Roman" w:hAnsi="Arial" w:cs="Arial"/>
          <w:color w:val="141B3D"/>
        </w:rPr>
        <w:t xml:space="preserve"> </w:t>
      </w:r>
      <w:r w:rsidRPr="0041678D">
        <w:rPr>
          <w:rFonts w:eastAsia="Times New Roman" w:cs="Sylfaen"/>
          <w:color w:val="141B3D"/>
        </w:rPr>
        <w:t>წინააღმდეგობის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უპირატესობა</w:t>
      </w:r>
      <w:r w:rsidRPr="0041678D">
        <w:rPr>
          <w:rFonts w:ascii="Arial" w:eastAsia="Times New Roman" w:hAnsi="Arial" w:cs="Arial"/>
          <w:color w:val="141B3D"/>
        </w:rPr>
        <w:t xml:space="preserve"> </w:t>
      </w:r>
      <w:r w:rsidRPr="0041678D">
        <w:rPr>
          <w:rFonts w:eastAsia="Times New Roman" w:cs="Sylfaen"/>
          <w:color w:val="141B3D"/>
        </w:rPr>
        <w:t>მიენიჭება</w:t>
      </w:r>
      <w:r w:rsidRPr="0041678D">
        <w:rPr>
          <w:rFonts w:ascii="Arial" w:eastAsia="Times New Roman" w:hAnsi="Arial" w:cs="Arial"/>
          <w:color w:val="141B3D"/>
        </w:rPr>
        <w:t xml:space="preserve"> </w:t>
      </w: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პრეტენდენტის</w:t>
      </w:r>
      <w:r w:rsidRPr="0041678D">
        <w:rPr>
          <w:rFonts w:ascii="Arial" w:eastAsia="Times New Roman" w:hAnsi="Arial" w:cs="Arial"/>
          <w:color w:val="141B3D"/>
        </w:rPr>
        <w:t xml:space="preserve"> </w:t>
      </w:r>
      <w:r w:rsidRPr="0041678D">
        <w:rPr>
          <w:rFonts w:eastAsia="Times New Roman" w:cs="Sylfaen"/>
          <w:color w:val="141B3D"/>
        </w:rPr>
        <w:t>მიერ</w:t>
      </w:r>
      <w:r w:rsidRPr="0041678D">
        <w:rPr>
          <w:rFonts w:ascii="Arial" w:eastAsia="Times New Roman" w:hAnsi="Arial" w:cs="Arial"/>
          <w:color w:val="141B3D"/>
        </w:rPr>
        <w:t xml:space="preserve"> </w:t>
      </w:r>
      <w:r w:rsidRPr="0041678D">
        <w:rPr>
          <w:rFonts w:eastAsia="Times New Roman" w:cs="Sylfaen"/>
          <w:color w:val="141B3D"/>
        </w:rPr>
        <w:t>ასატვირთი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ინფორმაცია</w:t>
      </w:r>
      <w:r w:rsidRPr="0041678D">
        <w:rPr>
          <w:rFonts w:ascii="Arial" w:eastAsia="Times New Roman" w:hAnsi="Arial" w:cs="Arial"/>
          <w:color w:val="141B3D"/>
        </w:rPr>
        <w:t xml:space="preserve"> </w:t>
      </w:r>
      <w:r w:rsidRPr="0041678D">
        <w:rPr>
          <w:rFonts w:eastAsia="Times New Roman" w:cs="Sylfaen"/>
          <w:color w:val="141B3D"/>
        </w:rPr>
        <w:t>დამოწმებული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უფლებამოსილი</w:t>
      </w:r>
      <w:r w:rsidRPr="0041678D">
        <w:rPr>
          <w:rFonts w:ascii="Arial" w:eastAsia="Times New Roman" w:hAnsi="Arial" w:cs="Arial"/>
          <w:color w:val="141B3D"/>
        </w:rPr>
        <w:t xml:space="preserve"> </w:t>
      </w:r>
      <w:r w:rsidRPr="0041678D">
        <w:rPr>
          <w:rFonts w:eastAsia="Times New Roman" w:cs="Sylfaen"/>
          <w:color w:val="141B3D"/>
        </w:rPr>
        <w:t>პირის</w:t>
      </w:r>
      <w:r w:rsidRPr="0041678D">
        <w:rPr>
          <w:rFonts w:ascii="Arial" w:eastAsia="Times New Roman" w:hAnsi="Arial" w:cs="Arial"/>
          <w:color w:val="141B3D"/>
        </w:rPr>
        <w:t xml:space="preserve"> </w:t>
      </w:r>
      <w:r w:rsidRPr="0041678D">
        <w:rPr>
          <w:rFonts w:eastAsia="Times New Roman" w:cs="Sylfaen"/>
          <w:color w:val="141B3D"/>
        </w:rPr>
        <w:t>ხელმოწერითა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ბეჭდით</w:t>
      </w:r>
      <w:r w:rsidRPr="0041678D">
        <w:rPr>
          <w:rFonts w:ascii="Arial" w:eastAsia="Times New Roman" w:hAnsi="Arial" w:cs="Arial"/>
          <w:color w:val="141B3D"/>
        </w:rPr>
        <w:t>;</w:t>
      </w:r>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შეავსოს</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1</w:t>
      </w:r>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თანდართული</w:t>
      </w:r>
      <w:r w:rsidRPr="0041678D">
        <w:rPr>
          <w:rFonts w:ascii="Arial" w:eastAsia="Times New Roman" w:hAnsi="Arial" w:cs="Arial"/>
          <w:color w:val="141B3D"/>
        </w:rPr>
        <w:t xml:space="preserve"> </w:t>
      </w:r>
      <w:r w:rsidRPr="0041678D">
        <w:rPr>
          <w:rFonts w:eastAsia="Times New Roman" w:cs="Sylfaen"/>
          <w:color w:val="141B3D"/>
        </w:rPr>
        <w:t>ფაილის</w:t>
      </w:r>
      <w:r w:rsidRPr="0041678D">
        <w:rPr>
          <w:rFonts w:ascii="Arial" w:eastAsia="Times New Roman" w:hAnsi="Arial" w:cs="Arial"/>
          <w:color w:val="141B3D"/>
        </w:rPr>
        <w:t xml:space="preserve"> </w:t>
      </w:r>
      <w:r w:rsidRPr="0041678D">
        <w:rPr>
          <w:rFonts w:eastAsia="Times New Roman" w:cs="Sylfaen"/>
          <w:color w:val="141B3D"/>
        </w:rPr>
        <w:t>შესაბამისად</w:t>
      </w:r>
      <w:r w:rsidRPr="0041678D">
        <w:rPr>
          <w:rFonts w:ascii="Arial" w:eastAsia="Times New Roman" w:hAnsi="Arial" w:cs="Arial"/>
          <w:color w:val="141B3D"/>
        </w:rPr>
        <w:t xml:space="preserve"> </w:t>
      </w:r>
      <w:r w:rsidRPr="0041678D">
        <w:rPr>
          <w:rFonts w:eastAsia="Times New Roman" w:cs="Sylfaen"/>
          <w:color w:val="141B3D"/>
        </w:rPr>
        <w:t>შევსებულ</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მიუთითონ</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საქონლის</w:t>
      </w:r>
      <w:r w:rsidRPr="0041678D">
        <w:rPr>
          <w:rFonts w:ascii="Arial" w:eastAsia="Times New Roman" w:hAnsi="Arial" w:cs="Arial"/>
          <w:color w:val="141B3D"/>
        </w:rPr>
        <w:t xml:space="preserve"> </w:t>
      </w:r>
      <w:r w:rsidRPr="0041678D">
        <w:rPr>
          <w:rFonts w:eastAsia="Times New Roman" w:cs="Sylfaen"/>
          <w:color w:val="141B3D"/>
        </w:rPr>
        <w:t>სასაქონლო</w:t>
      </w:r>
      <w:r w:rsidRPr="0041678D">
        <w:rPr>
          <w:rFonts w:ascii="Arial" w:eastAsia="Times New Roman" w:hAnsi="Arial" w:cs="Arial"/>
          <w:color w:val="141B3D"/>
        </w:rPr>
        <w:t xml:space="preserve"> </w:t>
      </w:r>
      <w:r w:rsidRPr="0041678D">
        <w:rPr>
          <w:rFonts w:eastAsia="Times New Roman" w:cs="Sylfaen"/>
          <w:color w:val="141B3D"/>
        </w:rPr>
        <w:t>ნიშანი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მარკა</w:t>
      </w:r>
      <w:r w:rsidRPr="0041678D">
        <w:rPr>
          <w:rFonts w:ascii="Arial" w:eastAsia="Times New Roman" w:hAnsi="Arial" w:cs="Arial"/>
          <w:color w:val="141B3D"/>
        </w:rPr>
        <w:t xml:space="preserve"> / </w:t>
      </w:r>
      <w:r w:rsidRPr="0041678D">
        <w:rPr>
          <w:rFonts w:eastAsia="Times New Roman" w:cs="Sylfaen"/>
          <w:color w:val="141B3D"/>
        </w:rPr>
        <w:t>მოდელი</w:t>
      </w:r>
      <w:r w:rsidRPr="0041678D">
        <w:rPr>
          <w:rFonts w:ascii="Arial" w:eastAsia="Times New Roman" w:hAnsi="Arial" w:cs="Arial"/>
          <w:color w:val="141B3D"/>
        </w:rPr>
        <w:t xml:space="preserve"> (</w:t>
      </w:r>
      <w:r w:rsidRPr="0041678D">
        <w:rPr>
          <w:rFonts w:eastAsia="Times New Roman" w:cs="Sylfaen"/>
          <w:color w:val="141B3D"/>
        </w:rPr>
        <w:t>არსებობის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ასევე</w:t>
      </w:r>
      <w:r w:rsidRPr="0041678D">
        <w:rPr>
          <w:rFonts w:ascii="Arial" w:eastAsia="Times New Roman" w:hAnsi="Arial" w:cs="Arial"/>
          <w:color w:val="141B3D"/>
        </w:rPr>
        <w:t xml:space="preserve"> </w:t>
      </w:r>
      <w:r w:rsidRPr="0041678D">
        <w:rPr>
          <w:rFonts w:eastAsia="Times New Roman" w:cs="Sylfaen"/>
          <w:color w:val="141B3D"/>
        </w:rPr>
        <w:t>მწარმოებელი</w:t>
      </w:r>
      <w:r w:rsidRPr="0041678D">
        <w:rPr>
          <w:rFonts w:ascii="Arial" w:eastAsia="Times New Roman" w:hAnsi="Arial" w:cs="Arial"/>
          <w:color w:val="141B3D"/>
        </w:rPr>
        <w:t xml:space="preserve"> </w:t>
      </w:r>
      <w:r w:rsidRPr="0041678D">
        <w:rPr>
          <w:rFonts w:eastAsia="Times New Roman" w:cs="Sylfaen"/>
          <w:color w:val="141B3D"/>
        </w:rPr>
        <w:t>კომპანია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წარმოშობის</w:t>
      </w:r>
      <w:r w:rsidRPr="0041678D">
        <w:rPr>
          <w:rFonts w:ascii="Arial" w:eastAsia="Times New Roman" w:hAnsi="Arial" w:cs="Arial"/>
          <w:color w:val="141B3D"/>
        </w:rPr>
        <w:t xml:space="preserve"> </w:t>
      </w:r>
      <w:r w:rsidRPr="0041678D">
        <w:rPr>
          <w:rFonts w:eastAsia="Times New Roman" w:cs="Sylfaen"/>
          <w:color w:val="141B3D"/>
        </w:rPr>
        <w:t>ქვეყანა</w:t>
      </w:r>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პროდუქტი</w:t>
      </w:r>
      <w:r w:rsidRPr="0041678D">
        <w:rPr>
          <w:rFonts w:ascii="Arial" w:eastAsia="Times New Roman" w:hAnsi="Arial" w:cs="Arial"/>
          <w:color w:val="141B3D"/>
        </w:rPr>
        <w:t xml:space="preserve"> </w:t>
      </w:r>
      <w:r w:rsidRPr="0041678D">
        <w:rPr>
          <w:rFonts w:eastAsia="Times New Roman" w:cs="Sylfaen"/>
          <w:color w:val="141B3D"/>
        </w:rPr>
        <w:t>სრულად</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აკმაყოფილებდეს</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დოკუმენტაციაში</w:t>
      </w:r>
      <w:r w:rsidRPr="0041678D">
        <w:rPr>
          <w:rFonts w:ascii="Arial" w:eastAsia="Times New Roman" w:hAnsi="Arial" w:cs="Arial"/>
          <w:color w:val="141B3D"/>
        </w:rPr>
        <w:t xml:space="preserve"> </w:t>
      </w:r>
      <w:r w:rsidRPr="0041678D">
        <w:rPr>
          <w:rFonts w:eastAsia="Times New Roman" w:cs="Sylfaen"/>
          <w:color w:val="141B3D"/>
        </w:rPr>
        <w:t>მოცემულ</w:t>
      </w:r>
      <w:r w:rsidRPr="0041678D">
        <w:rPr>
          <w:rFonts w:ascii="Arial" w:eastAsia="Times New Roman" w:hAnsi="Arial" w:cs="Arial"/>
          <w:color w:val="141B3D"/>
        </w:rPr>
        <w:t xml:space="preserve"> </w:t>
      </w:r>
      <w:r w:rsidRPr="0041678D">
        <w:rPr>
          <w:rFonts w:eastAsia="Times New Roman" w:cs="Sylfaen"/>
          <w:color w:val="141B3D"/>
        </w:rPr>
        <w:t>მინიმალურ</w:t>
      </w:r>
      <w:r w:rsidRPr="0041678D">
        <w:rPr>
          <w:rFonts w:ascii="Arial" w:eastAsia="Times New Roman" w:hAnsi="Arial" w:cs="Arial"/>
          <w:color w:val="141B3D"/>
        </w:rPr>
        <w:t xml:space="preserve"> </w:t>
      </w:r>
      <w:r w:rsidRPr="0041678D">
        <w:rPr>
          <w:rFonts w:eastAsia="Times New Roman" w:cs="Sylfaen"/>
          <w:color w:val="141B3D"/>
        </w:rPr>
        <w:t>პარამეტრებს</w:t>
      </w:r>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ბანკი</w:t>
      </w:r>
      <w:r w:rsidRPr="0041678D">
        <w:rPr>
          <w:rFonts w:ascii="Arial" w:eastAsia="Times New Roman" w:hAnsi="Arial" w:cs="Arial"/>
          <w:color w:val="141B3D"/>
        </w:rPr>
        <w:t xml:space="preserve"> </w:t>
      </w:r>
      <w:r w:rsidRPr="0041678D">
        <w:rPr>
          <w:rFonts w:eastAsia="Times New Roman" w:cs="Sylfaen"/>
          <w:color w:val="141B3D"/>
        </w:rPr>
        <w:t>იტოვებს</w:t>
      </w:r>
      <w:r w:rsidRPr="0041678D">
        <w:rPr>
          <w:rFonts w:ascii="Arial" w:eastAsia="Times New Roman" w:hAnsi="Arial" w:cs="Arial"/>
          <w:color w:val="141B3D"/>
        </w:rPr>
        <w:t xml:space="preserve"> </w:t>
      </w:r>
      <w:r w:rsidRPr="0041678D">
        <w:rPr>
          <w:rFonts w:eastAsia="Times New Roman" w:cs="Sylfaen"/>
          <w:color w:val="141B3D"/>
        </w:rPr>
        <w:t>უფლებას</w:t>
      </w:r>
      <w:r w:rsidRPr="0041678D">
        <w:rPr>
          <w:rFonts w:ascii="Arial" w:eastAsia="Times New Roman" w:hAnsi="Arial" w:cs="Arial"/>
          <w:color w:val="141B3D"/>
        </w:rPr>
        <w:t xml:space="preserve">, </w:t>
      </w:r>
      <w:r w:rsidRPr="0041678D">
        <w:rPr>
          <w:rFonts w:eastAsia="Times New Roman" w:cs="Sylfaen"/>
          <w:color w:val="141B3D"/>
        </w:rPr>
        <w:t>ნებისმიერ</w:t>
      </w:r>
      <w:r w:rsidRPr="0041678D">
        <w:rPr>
          <w:rFonts w:ascii="Arial" w:eastAsia="Times New Roman" w:hAnsi="Arial" w:cs="Arial"/>
          <w:color w:val="141B3D"/>
        </w:rPr>
        <w:t xml:space="preserve"> </w:t>
      </w:r>
      <w:r w:rsidRPr="0041678D">
        <w:rPr>
          <w:rFonts w:eastAsia="Times New Roman" w:cs="Sylfaen"/>
          <w:color w:val="141B3D"/>
        </w:rPr>
        <w:t>დროს</w:t>
      </w:r>
      <w:r w:rsidRPr="0041678D">
        <w:rPr>
          <w:rFonts w:ascii="Arial" w:eastAsia="Times New Roman" w:hAnsi="Arial" w:cs="Arial"/>
          <w:color w:val="141B3D"/>
        </w:rPr>
        <w:t xml:space="preserve"> </w:t>
      </w:r>
      <w:r w:rsidRPr="0041678D">
        <w:rPr>
          <w:rFonts w:eastAsia="Times New Roman" w:cs="Sylfaen"/>
          <w:color w:val="141B3D"/>
        </w:rPr>
        <w:t>შეწყვიტოს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გადაავადოს</w:t>
      </w:r>
      <w:r w:rsidRPr="0041678D">
        <w:rPr>
          <w:rFonts w:ascii="Arial" w:eastAsia="Times New Roman" w:hAnsi="Arial" w:cs="Arial"/>
          <w:color w:val="141B3D"/>
        </w:rPr>
        <w:t xml:space="preserve"> </w:t>
      </w:r>
      <w:r w:rsidRPr="0041678D">
        <w:rPr>
          <w:rFonts w:eastAsia="Times New Roman" w:cs="Sylfaen"/>
          <w:color w:val="141B3D"/>
        </w:rPr>
        <w:t>ტენდერი</w:t>
      </w:r>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ტენდერში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წარმოადგინოს</w:t>
      </w:r>
      <w:r w:rsidRPr="0041678D">
        <w:rPr>
          <w:rFonts w:ascii="Arial" w:eastAsia="Times New Roman" w:hAnsi="Arial" w:cs="Arial"/>
          <w:color w:val="141B3D"/>
        </w:rPr>
        <w:t xml:space="preserve"> </w:t>
      </w:r>
      <w:r w:rsidRPr="0041678D">
        <w:rPr>
          <w:rFonts w:eastAsia="Times New Roman" w:cs="Sylfaen"/>
          <w:color w:val="141B3D"/>
        </w:rPr>
        <w:t>საბანკო</w:t>
      </w:r>
      <w:r w:rsidRPr="0041678D">
        <w:rPr>
          <w:rFonts w:ascii="Arial" w:eastAsia="Times New Roman" w:hAnsi="Arial" w:cs="Arial"/>
          <w:color w:val="141B3D"/>
        </w:rPr>
        <w:t xml:space="preserve"> </w:t>
      </w:r>
      <w:r w:rsidRPr="0041678D">
        <w:rPr>
          <w:rFonts w:eastAsia="Times New Roman" w:cs="Sylfaen"/>
          <w:color w:val="141B3D"/>
        </w:rPr>
        <w:t>რეკვიზიტები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2</w:t>
      </w:r>
      <w:r w:rsidRPr="0041678D">
        <w:rPr>
          <w:rFonts w:ascii="Arial" w:eastAsia="Times New Roman" w:hAnsi="Arial" w:cs="Arial"/>
          <w:color w:val="141B3D"/>
        </w:rPr>
        <w:t>;</w:t>
      </w:r>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წინადადება</w:t>
      </w:r>
      <w:r w:rsidRPr="0041678D">
        <w:rPr>
          <w:rFonts w:ascii="Arial" w:eastAsia="Times New Roman" w:hAnsi="Arial" w:cs="Arial"/>
          <w:color w:val="141B3D"/>
        </w:rPr>
        <w:t xml:space="preserve"> </w:t>
      </w:r>
      <w:r w:rsidRPr="0041678D">
        <w:rPr>
          <w:rFonts w:eastAsia="Times New Roman" w:cs="Sylfaen"/>
          <w:color w:val="141B3D"/>
        </w:rPr>
        <w:t>წარმოდგენილი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დოლარში</w:t>
      </w:r>
      <w:r w:rsidRPr="0041678D">
        <w:rPr>
          <w:rFonts w:ascii="Arial" w:eastAsia="Times New Roman" w:hAnsi="Arial" w:cs="Arial"/>
          <w:color w:val="141B3D"/>
        </w:rPr>
        <w:t xml:space="preserve"> </w:t>
      </w:r>
      <w:r w:rsidRPr="0041678D">
        <w:rPr>
          <w:rFonts w:eastAsia="Times New Roman" w:cs="Sylfaen"/>
          <w:color w:val="141B3D"/>
        </w:rPr>
        <w:t>მოიცავდეს</w:t>
      </w:r>
      <w:r w:rsidRPr="0041678D">
        <w:rPr>
          <w:rFonts w:ascii="Arial" w:eastAsia="Times New Roman" w:hAnsi="Arial" w:cs="Arial"/>
          <w:color w:val="141B3D"/>
        </w:rPr>
        <w:t xml:space="preserve"> </w:t>
      </w:r>
      <w:r w:rsidRPr="0041678D">
        <w:rPr>
          <w:rFonts w:eastAsia="Times New Roman" w:cs="Sylfaen"/>
          <w:color w:val="141B3D"/>
        </w:rPr>
        <w:t>კანონმდებლობით</w:t>
      </w:r>
      <w:r w:rsidRPr="0041678D">
        <w:rPr>
          <w:rFonts w:ascii="Arial" w:eastAsia="Times New Roman" w:hAnsi="Arial" w:cs="Arial"/>
          <w:color w:val="141B3D"/>
        </w:rPr>
        <w:t xml:space="preserve"> </w:t>
      </w:r>
      <w:r w:rsidRPr="0041678D">
        <w:rPr>
          <w:rFonts w:eastAsia="Times New Roman" w:cs="Sylfaen"/>
          <w:color w:val="141B3D"/>
        </w:rPr>
        <w:t>გათვალისწინებულ</w:t>
      </w:r>
      <w:r w:rsidRPr="0041678D">
        <w:rPr>
          <w:rFonts w:ascii="Arial" w:eastAsia="Times New Roman" w:hAnsi="Arial" w:cs="Arial"/>
          <w:color w:val="141B3D"/>
        </w:rPr>
        <w:t xml:space="preserve"> </w:t>
      </w:r>
      <w:r w:rsidRPr="0041678D">
        <w:rPr>
          <w:rFonts w:eastAsia="Times New Roman" w:cs="Sylfaen"/>
          <w:color w:val="141B3D"/>
        </w:rPr>
        <w:t>გადასახადებს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გადასახდელებს</w:t>
      </w:r>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3BB3474A" w14:textId="3F37686C" w:rsidR="00B9072A" w:rsidRDefault="00B9072A" w:rsidP="00B9072A">
      <w:pPr>
        <w:pStyle w:val="ListParagraph"/>
        <w:numPr>
          <w:ilvl w:val="0"/>
          <w:numId w:val="15"/>
        </w:numPr>
        <w:spacing w:after="200" w:line="276" w:lineRule="auto"/>
        <w:rPr>
          <w:rFonts w:cs="Sylfaen"/>
          <w:lang w:val="ka-GE"/>
        </w:rPr>
      </w:pPr>
      <w:bookmarkStart w:id="7" w:name="_Toc22227847"/>
      <w:r>
        <w:rPr>
          <w:rFonts w:cs="Sylfaen"/>
          <w:b/>
          <w:lang w:val="ka-GE"/>
        </w:rPr>
        <w:t xml:space="preserve">საგარანტიო </w:t>
      </w:r>
      <w:r w:rsidR="00C92F49">
        <w:rPr>
          <w:rFonts w:cs="Sylfaen"/>
          <w:b/>
          <w:lang w:val="ka-GE"/>
        </w:rPr>
        <w:t>პირობები:</w:t>
      </w:r>
      <w:r>
        <w:rPr>
          <w:rFonts w:cs="Sylfaen"/>
          <w:lang w:val="ka-GE"/>
        </w:rPr>
        <w:t xml:space="preserve"> </w:t>
      </w:r>
      <w:r w:rsidR="001B3C15">
        <w:rPr>
          <w:rFonts w:cs="Sylfaen"/>
          <w:lang w:val="ka-GE"/>
        </w:rPr>
        <w:t xml:space="preserve">განისაზღვროს პრეტედენტის მიერ, არნაკლებ </w:t>
      </w:r>
      <w:r w:rsidR="00655533">
        <w:rPr>
          <w:rFonts w:cs="Sylfaen"/>
        </w:rPr>
        <w:t xml:space="preserve">3 </w:t>
      </w:r>
      <w:r w:rsidR="00655533">
        <w:rPr>
          <w:rFonts w:cs="Sylfaen"/>
          <w:lang w:val="ka-GE"/>
        </w:rPr>
        <w:t>წლით</w:t>
      </w:r>
    </w:p>
    <w:p w14:paraId="67C2BDD1" w14:textId="77777777" w:rsidR="00B9072A" w:rsidRDefault="00B9072A" w:rsidP="00B9072A">
      <w:pPr>
        <w:pStyle w:val="ListParagraph"/>
        <w:numPr>
          <w:ilvl w:val="0"/>
          <w:numId w:val="15"/>
        </w:numPr>
        <w:spacing w:after="200" w:line="276" w:lineRule="auto"/>
        <w:rPr>
          <w:rFonts w:cs="Sylfaen"/>
          <w:lang w:val="ka-GE"/>
        </w:rPr>
      </w:pPr>
      <w:r w:rsidRPr="00AA2871">
        <w:rPr>
          <w:rFonts w:cs="Sylfaen"/>
          <w:b/>
          <w:lang w:val="ka-GE"/>
        </w:rPr>
        <w:t xml:space="preserve">მიწოდების მისამართი: </w:t>
      </w:r>
      <w:r>
        <w:rPr>
          <w:rFonts w:cs="Sylfaen"/>
          <w:lang w:val="ka-GE"/>
        </w:rPr>
        <w:t xml:space="preserve"> </w:t>
      </w:r>
      <w:r w:rsidRPr="00523A9F">
        <w:rPr>
          <w:rFonts w:cs="Sylfaen"/>
          <w:lang w:val="ka-GE"/>
        </w:rPr>
        <w:t xml:space="preserve">ქ. </w:t>
      </w:r>
      <w:r w:rsidRPr="002B0B65">
        <w:rPr>
          <w:rFonts w:cs="Sylfaen"/>
          <w:lang w:val="ka-GE"/>
        </w:rPr>
        <w:t>თბილისი, ჭირნახულის ქ. #9</w:t>
      </w:r>
    </w:p>
    <w:p w14:paraId="488315C6" w14:textId="46F8508F" w:rsidR="00A00A1C" w:rsidRPr="00A00A1C" w:rsidRDefault="00B305E3" w:rsidP="00655533">
      <w:pPr>
        <w:pStyle w:val="ListParagraph"/>
        <w:numPr>
          <w:ilvl w:val="0"/>
          <w:numId w:val="15"/>
        </w:numPr>
        <w:shd w:val="clear" w:color="auto" w:fill="FFFFFF"/>
        <w:spacing w:after="200" w:line="276" w:lineRule="auto"/>
        <w:jc w:val="left"/>
        <w:rPr>
          <w:rFonts w:eastAsia="Times New Roman" w:cs="Sylfaen"/>
          <w:color w:val="141B3D"/>
          <w:lang w:val="ka-GE"/>
        </w:rPr>
      </w:pPr>
      <w:r w:rsidRPr="004E6505">
        <w:rPr>
          <w:rFonts w:cs="Sylfaen"/>
          <w:b/>
          <w:lang w:val="ka-GE"/>
        </w:rPr>
        <w:t>მიწოდებ</w:t>
      </w:r>
      <w:r w:rsidR="00655533">
        <w:rPr>
          <w:rFonts w:cs="Sylfaen"/>
          <w:b/>
          <w:lang w:val="ka-GE"/>
        </w:rPr>
        <w:t xml:space="preserve">ის ვადა: </w:t>
      </w:r>
      <w:r w:rsidR="0023166F">
        <w:rPr>
          <w:rFonts w:cs="Sylfaen"/>
          <w:bCs/>
          <w:lang w:val="ka-GE"/>
        </w:rPr>
        <w:t>განისაზღვროს პრეტედენტის მეირ, არაუმეტეს 1 თვით</w:t>
      </w:r>
    </w:p>
    <w:p w14:paraId="0D4EEF4A" w14:textId="33BEFEB0" w:rsidR="00655533" w:rsidRDefault="00E73F6F" w:rsidP="00655533">
      <w:pPr>
        <w:pStyle w:val="ListParagraph"/>
        <w:numPr>
          <w:ilvl w:val="0"/>
          <w:numId w:val="15"/>
        </w:numPr>
        <w:shd w:val="clear" w:color="auto" w:fill="FFFFFF"/>
        <w:spacing w:after="200" w:line="276" w:lineRule="auto"/>
        <w:jc w:val="left"/>
        <w:rPr>
          <w:rFonts w:eastAsia="Times New Roman" w:cs="Sylfaen"/>
          <w:color w:val="141B3D"/>
          <w:lang w:val="ka-GE"/>
        </w:rPr>
      </w:pPr>
      <w:r w:rsidRPr="00A00A1C">
        <w:rPr>
          <w:rFonts w:eastAsia="Times New Roman" w:cs="Sylfaen"/>
          <w:color w:val="141B3D"/>
        </w:rPr>
        <w:t>ტენდერში</w:t>
      </w:r>
      <w:r w:rsidRPr="00A00A1C">
        <w:rPr>
          <w:rFonts w:ascii="Arial" w:eastAsia="Times New Roman" w:hAnsi="Arial" w:cs="Arial"/>
          <w:color w:val="141B3D"/>
        </w:rPr>
        <w:t xml:space="preserve"> </w:t>
      </w:r>
      <w:r w:rsidRPr="00A00A1C">
        <w:rPr>
          <w:rFonts w:eastAsia="Times New Roman" w:cs="Sylfaen"/>
          <w:color w:val="141B3D"/>
          <w:lang w:val="ka-GE"/>
        </w:rPr>
        <w:t xml:space="preserve">განიხილება მითითებული </w:t>
      </w:r>
      <w:r w:rsidR="00A00A1C" w:rsidRPr="00A00A1C">
        <w:rPr>
          <w:rFonts w:eastAsia="Times New Roman" w:cs="Sylfaen"/>
          <w:color w:val="141B3D"/>
          <w:lang w:val="ka-GE"/>
        </w:rPr>
        <w:t>მოდელები, ან მათი მსგავსი კონფიგურაციის მქონე მოდელ</w:t>
      </w:r>
      <w:r w:rsidR="00655533">
        <w:rPr>
          <w:rFonts w:eastAsia="Times New Roman" w:cs="Sylfaen"/>
          <w:color w:val="141B3D"/>
          <w:lang w:val="ka-GE"/>
        </w:rPr>
        <w:t>ი, რომელიც შეფასდება გატესტვის შედეგად.</w:t>
      </w:r>
    </w:p>
    <w:p w14:paraId="6D0E7CF0" w14:textId="77777777" w:rsidR="00655533" w:rsidRPr="00655533" w:rsidRDefault="00655533" w:rsidP="00655533">
      <w:pPr>
        <w:pStyle w:val="ListParagraph"/>
        <w:numPr>
          <w:ilvl w:val="1"/>
          <w:numId w:val="15"/>
        </w:numPr>
        <w:shd w:val="clear" w:color="auto" w:fill="FFFFFF"/>
        <w:spacing w:after="200" w:line="276" w:lineRule="auto"/>
        <w:jc w:val="left"/>
        <w:rPr>
          <w:rFonts w:eastAsia="Times New Roman" w:cs="Sylfaen"/>
          <w:color w:val="141B3D"/>
          <w:lang w:val="ka-GE"/>
        </w:rPr>
      </w:pPr>
      <w:r w:rsidRPr="00655533">
        <w:rPr>
          <w:rFonts w:eastAsia="Times New Roman" w:cs="Sylfaen"/>
          <w:b/>
          <w:bCs/>
          <w:color w:val="141B3D"/>
          <w:lang w:val="ka-GE"/>
        </w:rPr>
        <w:t>შენიშვნა1</w:t>
      </w:r>
      <w:r w:rsidRPr="00655533">
        <w:rPr>
          <w:rFonts w:eastAsia="Times New Roman" w:cs="Sylfaen"/>
          <w:color w:val="141B3D"/>
          <w:lang w:val="ka-GE"/>
        </w:rPr>
        <w:t>: მოთხოვნის შესაბამისად დაინტერესებულმა მხარემ უნდა წარმოადგინოს ტენდერში შემოთავაზებული მოდელის ნიმუში.</w:t>
      </w:r>
    </w:p>
    <w:p w14:paraId="5FDBFD18" w14:textId="77777777" w:rsidR="00655533" w:rsidRPr="00655533" w:rsidRDefault="00655533" w:rsidP="00655533">
      <w:pPr>
        <w:pStyle w:val="ListParagraph"/>
        <w:shd w:val="clear" w:color="auto" w:fill="FFFFFF"/>
        <w:spacing w:after="200" w:line="276" w:lineRule="auto"/>
        <w:ind w:left="1440"/>
        <w:jc w:val="left"/>
        <w:rPr>
          <w:rFonts w:eastAsia="Times New Roman" w:cs="Sylfaen"/>
          <w:color w:val="141B3D"/>
          <w:lang w:val="ka-GE"/>
        </w:rPr>
      </w:pPr>
      <w:r w:rsidRPr="00655533">
        <w:rPr>
          <w:rFonts w:eastAsia="Times New Roman" w:cs="Sylfaen"/>
          <w:color w:val="141B3D"/>
          <w:lang w:val="ka-GE"/>
        </w:rPr>
        <w:t>შემოთავაზებული ტექნიკა გაიტესტება 5 დღის ვადაში.</w:t>
      </w:r>
    </w:p>
    <w:p w14:paraId="15896FF1" w14:textId="77777777" w:rsidR="00655533" w:rsidRPr="00655533" w:rsidRDefault="00655533" w:rsidP="00655533">
      <w:pPr>
        <w:pStyle w:val="ListParagraph"/>
        <w:numPr>
          <w:ilvl w:val="1"/>
          <w:numId w:val="15"/>
        </w:numPr>
        <w:shd w:val="clear" w:color="auto" w:fill="FFFFFF"/>
        <w:spacing w:after="200" w:line="276" w:lineRule="auto"/>
        <w:jc w:val="left"/>
        <w:rPr>
          <w:rFonts w:eastAsia="Times New Roman" w:cs="Sylfaen"/>
          <w:color w:val="141B3D"/>
          <w:lang w:val="ka-GE"/>
        </w:rPr>
      </w:pPr>
      <w:r w:rsidRPr="00655533">
        <w:rPr>
          <w:rFonts w:eastAsia="Times New Roman" w:cs="Sylfaen"/>
          <w:b/>
          <w:bCs/>
          <w:color w:val="141B3D"/>
          <w:lang w:val="ka-GE"/>
        </w:rPr>
        <w:t>შენიშვნა 2</w:t>
      </w:r>
      <w:r w:rsidRPr="00655533">
        <w:rPr>
          <w:rFonts w:eastAsia="Times New Roman" w:cs="Sylfaen"/>
          <w:color w:val="141B3D"/>
          <w:lang w:val="ka-GE"/>
        </w:rPr>
        <w:t>: შესყიდვის საბოლოო რაოდენობები დაზუსტდება ხელშეკრულების ხელმოწერამდე</w:t>
      </w:r>
    </w:p>
    <w:p w14:paraId="0644404F" w14:textId="77777777" w:rsidR="00655533" w:rsidRDefault="00655533" w:rsidP="00655533">
      <w:pPr>
        <w:pStyle w:val="ListParagraph"/>
        <w:shd w:val="clear" w:color="auto" w:fill="FFFFFF"/>
        <w:spacing w:after="200" w:line="276" w:lineRule="auto"/>
        <w:ind w:left="1440"/>
        <w:jc w:val="left"/>
        <w:rPr>
          <w:rFonts w:eastAsia="Times New Roman" w:cs="Sylfaen"/>
          <w:color w:val="141B3D"/>
          <w:lang w:val="ka-GE"/>
        </w:rPr>
      </w:pPr>
    </w:p>
    <w:p w14:paraId="262D7393" w14:textId="77777777" w:rsidR="00655533" w:rsidRDefault="00655533" w:rsidP="00655533">
      <w:pPr>
        <w:pStyle w:val="ListParagraph"/>
        <w:shd w:val="clear" w:color="auto" w:fill="FFFFFF"/>
        <w:spacing w:after="200" w:line="276" w:lineRule="auto"/>
        <w:ind w:left="1440"/>
        <w:jc w:val="left"/>
        <w:rPr>
          <w:rFonts w:eastAsia="Times New Roman" w:cs="Sylfaen"/>
          <w:color w:val="141B3D"/>
          <w:lang w:val="ka-GE"/>
        </w:rPr>
      </w:pPr>
    </w:p>
    <w:p w14:paraId="6CC78569" w14:textId="0363C948" w:rsidR="00655533" w:rsidRPr="00655533" w:rsidRDefault="00655533" w:rsidP="00655533">
      <w:pPr>
        <w:spacing w:after="200" w:line="276" w:lineRule="auto"/>
        <w:rPr>
          <w:rFonts w:eastAsiaTheme="majorEastAsia" w:cstheme="majorBidi"/>
          <w:b/>
          <w:color w:val="FF671B"/>
          <w:sz w:val="24"/>
          <w:szCs w:val="28"/>
          <w:lang w:val="ka-GE" w:eastAsia="ja-JP"/>
        </w:rPr>
      </w:pPr>
      <w:r w:rsidRPr="00655533">
        <w:rPr>
          <w:rFonts w:eastAsiaTheme="majorEastAsia" w:cstheme="majorBidi"/>
          <w:b/>
          <w:color w:val="FF671B"/>
          <w:sz w:val="24"/>
          <w:szCs w:val="28"/>
          <w:lang w:val="ka-GE" w:eastAsia="ja-JP"/>
        </w:rPr>
        <w:t>შეფასების კრიტერიუმები</w:t>
      </w:r>
    </w:p>
    <w:p w14:paraId="3D55F48C" w14:textId="77777777" w:rsidR="00655533" w:rsidRPr="00655533" w:rsidRDefault="00655533" w:rsidP="00655533">
      <w:pPr>
        <w:pStyle w:val="ListParagraph"/>
        <w:numPr>
          <w:ilvl w:val="0"/>
          <w:numId w:val="27"/>
        </w:numPr>
        <w:shd w:val="clear" w:color="auto" w:fill="FFFFFF"/>
        <w:spacing w:after="200" w:line="276" w:lineRule="auto"/>
        <w:jc w:val="left"/>
        <w:rPr>
          <w:rFonts w:eastAsia="Times New Roman" w:cs="Sylfaen"/>
          <w:color w:val="141B3D"/>
          <w:lang w:val="ka-GE"/>
        </w:rPr>
      </w:pPr>
      <w:r w:rsidRPr="00655533">
        <w:rPr>
          <w:rFonts w:eastAsia="Times New Roman" w:cs="Sylfaen"/>
          <w:b/>
          <w:bCs/>
          <w:color w:val="141B3D"/>
          <w:lang w:val="ka-GE"/>
        </w:rPr>
        <w:t>ღირებულება</w:t>
      </w:r>
      <w:r w:rsidRPr="00655533">
        <w:rPr>
          <w:rFonts w:eastAsia="Times New Roman" w:cs="Sylfaen"/>
          <w:color w:val="141B3D"/>
          <w:lang w:val="ka-GE"/>
        </w:rPr>
        <w:t xml:space="preserve"> - 60%</w:t>
      </w:r>
    </w:p>
    <w:p w14:paraId="25936BD0" w14:textId="77777777" w:rsidR="00655533" w:rsidRPr="00655533" w:rsidRDefault="00655533" w:rsidP="00655533">
      <w:pPr>
        <w:pStyle w:val="ListParagraph"/>
        <w:numPr>
          <w:ilvl w:val="0"/>
          <w:numId w:val="27"/>
        </w:numPr>
        <w:shd w:val="clear" w:color="auto" w:fill="FFFFFF"/>
        <w:spacing w:after="200" w:line="276" w:lineRule="auto"/>
        <w:jc w:val="left"/>
        <w:rPr>
          <w:rFonts w:eastAsia="Times New Roman" w:cs="Sylfaen"/>
          <w:color w:val="141B3D"/>
          <w:lang w:val="ka-GE"/>
        </w:rPr>
      </w:pPr>
      <w:r w:rsidRPr="00655533">
        <w:rPr>
          <w:rFonts w:eastAsia="Times New Roman" w:cs="Sylfaen"/>
          <w:b/>
          <w:bCs/>
          <w:color w:val="141B3D"/>
          <w:lang w:val="ka-GE"/>
        </w:rPr>
        <w:t>მოწოდების ვადა</w:t>
      </w:r>
      <w:r w:rsidRPr="00655533">
        <w:rPr>
          <w:rFonts w:eastAsia="Times New Roman" w:cs="Sylfaen"/>
          <w:color w:val="141B3D"/>
          <w:lang w:val="ka-GE"/>
        </w:rPr>
        <w:t xml:space="preserve"> - 20%</w:t>
      </w:r>
    </w:p>
    <w:p w14:paraId="239BD2F2" w14:textId="77777777" w:rsidR="00655533" w:rsidRPr="00655533" w:rsidRDefault="00655533" w:rsidP="00655533">
      <w:pPr>
        <w:pStyle w:val="ListParagraph"/>
        <w:numPr>
          <w:ilvl w:val="0"/>
          <w:numId w:val="27"/>
        </w:numPr>
        <w:shd w:val="clear" w:color="auto" w:fill="FFFFFF"/>
        <w:spacing w:after="200" w:line="276" w:lineRule="auto"/>
        <w:jc w:val="left"/>
        <w:rPr>
          <w:rFonts w:eastAsia="Times New Roman" w:cs="Sylfaen"/>
          <w:color w:val="141B3D"/>
          <w:lang w:val="ka-GE"/>
        </w:rPr>
      </w:pPr>
      <w:r w:rsidRPr="00655533">
        <w:rPr>
          <w:rFonts w:eastAsia="Times New Roman" w:cs="Sylfaen"/>
          <w:b/>
          <w:bCs/>
          <w:color w:val="141B3D"/>
          <w:lang w:val="ka-GE"/>
        </w:rPr>
        <w:t>კომისის შეფასება</w:t>
      </w:r>
      <w:r w:rsidRPr="00655533">
        <w:rPr>
          <w:rFonts w:eastAsia="Times New Roman" w:cs="Sylfaen"/>
          <w:color w:val="141B3D"/>
          <w:lang w:val="ka-GE"/>
        </w:rPr>
        <w:t xml:space="preserve"> - 20 % (იგულისხმება კომპიუტერის მონაცემები, ტესტირების შედეგები ბანკის ინფრასტრუქტურასთან თავსებადობის გათვალისწინებით</w:t>
      </w:r>
    </w:p>
    <w:p w14:paraId="1808193A" w14:textId="383AE1A0" w:rsidR="00655533" w:rsidRDefault="00655533" w:rsidP="00655533">
      <w:pPr>
        <w:spacing w:after="200" w:line="276" w:lineRule="auto"/>
        <w:rPr>
          <w:rFonts w:eastAsiaTheme="majorEastAsia" w:cstheme="majorBidi"/>
          <w:b/>
          <w:color w:val="FF671B"/>
          <w:sz w:val="24"/>
          <w:szCs w:val="28"/>
          <w:lang w:val="ka-GE" w:eastAsia="ja-JP"/>
        </w:rPr>
      </w:pPr>
    </w:p>
    <w:p w14:paraId="148F3F6A"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6CEF9BD6" w14:textId="77777777" w:rsidR="00831E4A" w:rsidRDefault="00831E4A" w:rsidP="00831E4A">
      <w:pPr>
        <w:pStyle w:val="a"/>
        <w:numPr>
          <w:ilvl w:val="0"/>
          <w:numId w:val="0"/>
        </w:numPr>
        <w:ind w:left="360" w:hanging="360"/>
        <w:rPr>
          <w:rFonts w:eastAsiaTheme="minorHAnsi" w:cs="Sylfaen"/>
          <w:color w:val="231F20"/>
          <w:sz w:val="22"/>
          <w:szCs w:val="20"/>
          <w:lang w:eastAsia="en-US"/>
        </w:rPr>
      </w:pPr>
      <w:r w:rsidRPr="00C525A4">
        <w:rPr>
          <w:rFonts w:eastAsiaTheme="minorHAnsi" w:cs="Sylfaen"/>
          <w:color w:val="231F20"/>
          <w:sz w:val="22"/>
          <w:szCs w:val="20"/>
          <w:lang w:eastAsia="en-US"/>
        </w:rPr>
        <w:lastRenderedPageBreak/>
        <w:t>დანართი1: ფასების ცხრილი</w:t>
      </w:r>
    </w:p>
    <w:p w14:paraId="1E8F461B" w14:textId="77777777" w:rsidR="00850BA8" w:rsidRDefault="00850BA8" w:rsidP="00850BA8">
      <w:pPr>
        <w:pStyle w:val="NoSpacing"/>
      </w:pPr>
    </w:p>
    <w:p w14:paraId="4FC5A8F5" w14:textId="77777777" w:rsidR="00831E4A" w:rsidRPr="00831E4A" w:rsidRDefault="00831E4A" w:rsidP="00831E4A">
      <w:pPr>
        <w:rPr>
          <w:lang w:eastAsia="ja-JP"/>
        </w:rPr>
      </w:pPr>
    </w:p>
    <w:tbl>
      <w:tblPr>
        <w:tblpPr w:leftFromText="180" w:rightFromText="180" w:vertAnchor="text" w:horzAnchor="page" w:tblpX="441" w:tblpY="171"/>
        <w:tblW w:w="11371" w:type="dxa"/>
        <w:tblLook w:val="04A0" w:firstRow="1" w:lastRow="0" w:firstColumn="1" w:lastColumn="0" w:noHBand="0" w:noVBand="1"/>
      </w:tblPr>
      <w:tblGrid>
        <w:gridCol w:w="1595"/>
        <w:gridCol w:w="3969"/>
        <w:gridCol w:w="1155"/>
        <w:gridCol w:w="1504"/>
        <w:gridCol w:w="1272"/>
        <w:gridCol w:w="1876"/>
      </w:tblGrid>
      <w:tr w:rsidR="006B49EF" w:rsidRPr="006B49EF" w14:paraId="4D0B9235" w14:textId="77777777" w:rsidTr="008141DA">
        <w:trPr>
          <w:trHeight w:val="406"/>
        </w:trPr>
        <w:tc>
          <w:tcPr>
            <w:tcW w:w="1595" w:type="dxa"/>
            <w:vMerge w:val="restart"/>
            <w:tcBorders>
              <w:top w:val="single" w:sz="8" w:space="0" w:color="auto"/>
              <w:left w:val="single" w:sz="8" w:space="0" w:color="auto"/>
              <w:bottom w:val="single" w:sz="8" w:space="0" w:color="000000"/>
              <w:right w:val="single" w:sz="8" w:space="0" w:color="auto"/>
            </w:tcBorders>
            <w:vAlign w:val="center"/>
            <w:hideMark/>
          </w:tcPr>
          <w:p w14:paraId="1FD6B894" w14:textId="77777777" w:rsidR="006B49EF" w:rsidRPr="002A76E2" w:rsidRDefault="006B49EF" w:rsidP="00EE08A3">
            <w:pPr>
              <w:jc w:val="left"/>
              <w:rPr>
                <w:rFonts w:ascii="BOG 2017" w:eastAsia="Times New Roman" w:hAnsi="BOG 2017" w:cs="Calibri"/>
                <w:sz w:val="18"/>
                <w:szCs w:val="18"/>
              </w:rPr>
            </w:pPr>
            <w:r w:rsidRPr="00EE08A3">
              <w:rPr>
                <w:rFonts w:ascii="BOG 2017" w:eastAsia="Times New Roman" w:hAnsi="BOG 2017" w:cs="Calibri"/>
                <w:sz w:val="18"/>
                <w:szCs w:val="18"/>
              </w:rPr>
              <w:t>Product</w:t>
            </w:r>
          </w:p>
        </w:tc>
        <w:tc>
          <w:tcPr>
            <w:tcW w:w="3969" w:type="dxa"/>
            <w:vMerge w:val="restart"/>
            <w:tcBorders>
              <w:top w:val="single" w:sz="8" w:space="0" w:color="auto"/>
              <w:left w:val="single" w:sz="8" w:space="0" w:color="auto"/>
              <w:bottom w:val="single" w:sz="8" w:space="0" w:color="000000"/>
              <w:right w:val="single" w:sz="8" w:space="0" w:color="auto"/>
            </w:tcBorders>
            <w:vAlign w:val="center"/>
            <w:hideMark/>
          </w:tcPr>
          <w:p w14:paraId="0B73B606" w14:textId="77777777" w:rsidR="006B49EF" w:rsidRPr="002A76E2" w:rsidRDefault="006B49EF" w:rsidP="00EE08A3">
            <w:pPr>
              <w:jc w:val="left"/>
              <w:rPr>
                <w:rFonts w:ascii="BOG 2017" w:eastAsia="Times New Roman" w:hAnsi="BOG 2017" w:cs="Calibri"/>
                <w:sz w:val="18"/>
                <w:szCs w:val="18"/>
              </w:rPr>
            </w:pPr>
            <w:r w:rsidRPr="00EE08A3">
              <w:rPr>
                <w:rFonts w:ascii="BOG 2017" w:eastAsia="Times New Roman" w:hAnsi="BOG 2017" w:cs="Calibri"/>
                <w:sz w:val="18"/>
                <w:szCs w:val="18"/>
              </w:rPr>
              <w:t>Description</w:t>
            </w:r>
          </w:p>
        </w:tc>
        <w:tc>
          <w:tcPr>
            <w:tcW w:w="1155" w:type="dxa"/>
            <w:vMerge w:val="restart"/>
            <w:tcBorders>
              <w:top w:val="single" w:sz="8" w:space="0" w:color="auto"/>
              <w:left w:val="single" w:sz="8" w:space="0" w:color="auto"/>
              <w:bottom w:val="single" w:sz="8" w:space="0" w:color="000000"/>
              <w:right w:val="single" w:sz="8" w:space="0" w:color="auto"/>
            </w:tcBorders>
            <w:vAlign w:val="center"/>
            <w:hideMark/>
          </w:tcPr>
          <w:p w14:paraId="711AB6C1" w14:textId="77777777" w:rsidR="006B49EF" w:rsidRPr="002A76E2" w:rsidRDefault="006B49EF" w:rsidP="00EE08A3">
            <w:pPr>
              <w:jc w:val="left"/>
              <w:rPr>
                <w:rFonts w:ascii="BOG 2017" w:eastAsia="Times New Roman" w:hAnsi="BOG 2017" w:cs="Calibri"/>
                <w:sz w:val="18"/>
                <w:szCs w:val="18"/>
              </w:rPr>
            </w:pPr>
            <w:r w:rsidRPr="00EE08A3">
              <w:rPr>
                <w:rFonts w:ascii="BOG 2017" w:eastAsia="Times New Roman" w:hAnsi="BOG 2017" w:cs="Calibri"/>
                <w:sz w:val="18"/>
                <w:szCs w:val="18"/>
              </w:rPr>
              <w:t>QTY</w:t>
            </w:r>
          </w:p>
        </w:tc>
        <w:tc>
          <w:tcPr>
            <w:tcW w:w="1504" w:type="dxa"/>
            <w:vMerge w:val="restart"/>
            <w:tcBorders>
              <w:top w:val="single" w:sz="8" w:space="0" w:color="auto"/>
              <w:left w:val="single" w:sz="8" w:space="0" w:color="auto"/>
              <w:bottom w:val="single" w:sz="8" w:space="0" w:color="000000"/>
              <w:right w:val="single" w:sz="8" w:space="0" w:color="auto"/>
            </w:tcBorders>
            <w:vAlign w:val="center"/>
            <w:hideMark/>
          </w:tcPr>
          <w:p w14:paraId="28E1FB42" w14:textId="77777777" w:rsidR="006B49EF" w:rsidRPr="002A76E2" w:rsidRDefault="006B49EF" w:rsidP="00EE08A3">
            <w:pPr>
              <w:jc w:val="left"/>
              <w:rPr>
                <w:rFonts w:ascii="BOG 2017" w:eastAsia="Times New Roman" w:hAnsi="BOG 2017" w:cs="Calibri"/>
                <w:sz w:val="18"/>
                <w:szCs w:val="18"/>
              </w:rPr>
            </w:pPr>
            <w:r w:rsidRPr="00EE08A3">
              <w:rPr>
                <w:rFonts w:ascii="BOG 2017" w:eastAsia="Times New Roman" w:hAnsi="BOG 2017" w:cs="Calibri"/>
                <w:sz w:val="18"/>
                <w:szCs w:val="18"/>
              </w:rPr>
              <w:t>Unit Price (USD)</w:t>
            </w:r>
          </w:p>
        </w:tc>
        <w:tc>
          <w:tcPr>
            <w:tcW w:w="1272" w:type="dxa"/>
            <w:vMerge w:val="restart"/>
            <w:tcBorders>
              <w:top w:val="single" w:sz="8" w:space="0" w:color="auto"/>
              <w:left w:val="single" w:sz="8" w:space="0" w:color="auto"/>
              <w:bottom w:val="single" w:sz="8" w:space="0" w:color="000000"/>
              <w:right w:val="single" w:sz="8" w:space="0" w:color="auto"/>
            </w:tcBorders>
            <w:vAlign w:val="center"/>
            <w:hideMark/>
          </w:tcPr>
          <w:p w14:paraId="0070D13F"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Total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876" w:type="dxa"/>
            <w:vMerge w:val="restart"/>
            <w:tcBorders>
              <w:top w:val="single" w:sz="8" w:space="0" w:color="auto"/>
              <w:left w:val="single" w:sz="8" w:space="0" w:color="auto"/>
              <w:bottom w:val="single" w:sz="8" w:space="0" w:color="000000"/>
              <w:right w:val="single" w:sz="8" w:space="0" w:color="auto"/>
            </w:tcBorders>
            <w:vAlign w:val="center"/>
            <w:hideMark/>
          </w:tcPr>
          <w:p w14:paraId="03180F32"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Guarantee</w:t>
            </w:r>
          </w:p>
        </w:tc>
      </w:tr>
      <w:tr w:rsidR="006B49EF" w:rsidRPr="006B49EF" w14:paraId="3F3A8602" w14:textId="77777777" w:rsidTr="008141DA">
        <w:trPr>
          <w:trHeight w:val="263"/>
        </w:trPr>
        <w:tc>
          <w:tcPr>
            <w:tcW w:w="1595" w:type="dxa"/>
            <w:vMerge/>
            <w:tcBorders>
              <w:top w:val="single" w:sz="8" w:space="0" w:color="auto"/>
              <w:left w:val="single" w:sz="8" w:space="0" w:color="auto"/>
              <w:bottom w:val="single" w:sz="8" w:space="0" w:color="000000"/>
              <w:right w:val="single" w:sz="8" w:space="0" w:color="auto"/>
            </w:tcBorders>
            <w:vAlign w:val="center"/>
            <w:hideMark/>
          </w:tcPr>
          <w:p w14:paraId="4FF4E490" w14:textId="77777777" w:rsidR="006B49EF" w:rsidRPr="002A76E2" w:rsidRDefault="006B49EF" w:rsidP="006B49EF">
            <w:pPr>
              <w:jc w:val="left"/>
              <w:rPr>
                <w:rFonts w:ascii="BOG 2017" w:eastAsia="Times New Roman" w:hAnsi="BOG 2017" w:cs="Calibri"/>
                <w:sz w:val="18"/>
                <w:szCs w:val="18"/>
              </w:rPr>
            </w:pPr>
          </w:p>
        </w:tc>
        <w:tc>
          <w:tcPr>
            <w:tcW w:w="3969" w:type="dxa"/>
            <w:vMerge/>
            <w:tcBorders>
              <w:top w:val="single" w:sz="8" w:space="0" w:color="auto"/>
              <w:left w:val="single" w:sz="8" w:space="0" w:color="auto"/>
              <w:bottom w:val="single" w:sz="8" w:space="0" w:color="000000"/>
              <w:right w:val="single" w:sz="8" w:space="0" w:color="auto"/>
            </w:tcBorders>
            <w:vAlign w:val="center"/>
            <w:hideMark/>
          </w:tcPr>
          <w:p w14:paraId="00F149B9" w14:textId="77777777" w:rsidR="006B49EF" w:rsidRPr="002A76E2" w:rsidRDefault="006B49EF" w:rsidP="006B49EF">
            <w:pPr>
              <w:jc w:val="left"/>
              <w:rPr>
                <w:rFonts w:ascii="BOG 2017" w:eastAsia="Times New Roman" w:hAnsi="BOG 2017" w:cs="Calibri"/>
                <w:sz w:val="18"/>
                <w:szCs w:val="18"/>
              </w:rPr>
            </w:pPr>
          </w:p>
        </w:tc>
        <w:tc>
          <w:tcPr>
            <w:tcW w:w="1155" w:type="dxa"/>
            <w:vMerge/>
            <w:tcBorders>
              <w:top w:val="single" w:sz="8" w:space="0" w:color="auto"/>
              <w:left w:val="single" w:sz="8" w:space="0" w:color="auto"/>
              <w:bottom w:val="single" w:sz="8" w:space="0" w:color="000000"/>
              <w:right w:val="single" w:sz="8" w:space="0" w:color="auto"/>
            </w:tcBorders>
            <w:vAlign w:val="center"/>
            <w:hideMark/>
          </w:tcPr>
          <w:p w14:paraId="43A5F6C7" w14:textId="77777777" w:rsidR="006B49EF" w:rsidRPr="002A76E2" w:rsidRDefault="006B49EF" w:rsidP="006B49EF">
            <w:pPr>
              <w:jc w:val="left"/>
              <w:rPr>
                <w:rFonts w:ascii="BOG 2017" w:eastAsia="Times New Roman" w:hAnsi="BOG 2017" w:cs="Calibri"/>
                <w:sz w:val="18"/>
                <w:szCs w:val="18"/>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50F90F74" w14:textId="77777777" w:rsidR="006B49EF" w:rsidRPr="002A76E2" w:rsidRDefault="006B49EF" w:rsidP="006B49EF">
            <w:pPr>
              <w:jc w:val="left"/>
              <w:rPr>
                <w:rFonts w:ascii="BOG 2017" w:eastAsia="Times New Roman" w:hAnsi="BOG 2017" w:cs="Calibri"/>
                <w:sz w:val="18"/>
                <w:szCs w:val="18"/>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7DD2AE4D" w14:textId="77777777" w:rsidR="006B49EF" w:rsidRPr="002A76E2" w:rsidRDefault="006B49EF" w:rsidP="006B49EF">
            <w:pPr>
              <w:jc w:val="left"/>
              <w:rPr>
                <w:rFonts w:ascii="BOG 2017" w:eastAsia="Times New Roman" w:hAnsi="BOG 2017" w:cs="Calibri"/>
                <w:sz w:val="18"/>
                <w:szCs w:val="18"/>
              </w:rPr>
            </w:pPr>
          </w:p>
        </w:tc>
        <w:tc>
          <w:tcPr>
            <w:tcW w:w="1876" w:type="dxa"/>
            <w:vMerge/>
            <w:tcBorders>
              <w:top w:val="single" w:sz="8" w:space="0" w:color="auto"/>
              <w:left w:val="single" w:sz="8" w:space="0" w:color="auto"/>
              <w:bottom w:val="single" w:sz="8" w:space="0" w:color="000000"/>
              <w:right w:val="single" w:sz="8" w:space="0" w:color="auto"/>
            </w:tcBorders>
            <w:vAlign w:val="center"/>
            <w:hideMark/>
          </w:tcPr>
          <w:p w14:paraId="1675C606" w14:textId="77777777" w:rsidR="006B49EF" w:rsidRPr="002A76E2" w:rsidRDefault="006B49EF" w:rsidP="006B49EF">
            <w:pPr>
              <w:jc w:val="left"/>
              <w:rPr>
                <w:rFonts w:ascii="BOG 2017" w:eastAsia="Times New Roman" w:hAnsi="BOG 2017" w:cs="Calibri"/>
                <w:sz w:val="18"/>
                <w:szCs w:val="18"/>
              </w:rPr>
            </w:pPr>
          </w:p>
        </w:tc>
      </w:tr>
      <w:tr w:rsidR="00EE08A3" w:rsidRPr="006B49EF" w14:paraId="31136095" w14:textId="77777777" w:rsidTr="008141DA">
        <w:trPr>
          <w:trHeight w:val="223"/>
        </w:trPr>
        <w:tc>
          <w:tcPr>
            <w:tcW w:w="1595" w:type="dxa"/>
            <w:tcBorders>
              <w:top w:val="nil"/>
              <w:left w:val="single" w:sz="8" w:space="0" w:color="auto"/>
              <w:bottom w:val="single" w:sz="8" w:space="0" w:color="auto"/>
              <w:right w:val="single" w:sz="8" w:space="0" w:color="auto"/>
            </w:tcBorders>
            <w:vAlign w:val="center"/>
          </w:tcPr>
          <w:p w14:paraId="54E78171" w14:textId="6511BE15" w:rsidR="00EE08A3" w:rsidRPr="00EE08A3" w:rsidRDefault="00EE08A3" w:rsidP="00EE08A3">
            <w:pPr>
              <w:jc w:val="left"/>
              <w:rPr>
                <w:rFonts w:ascii="BOG 2017" w:eastAsia="Times New Roman" w:hAnsi="BOG 2017" w:cs="Calibri"/>
                <w:sz w:val="18"/>
                <w:szCs w:val="18"/>
              </w:rPr>
            </w:pPr>
            <w:r w:rsidRPr="00EE08A3">
              <w:rPr>
                <w:rFonts w:ascii="BOG 2017" w:eastAsia="Times New Roman" w:hAnsi="BOG 2017" w:cs="Calibri"/>
                <w:sz w:val="18"/>
                <w:szCs w:val="18"/>
              </w:rPr>
              <w:t>UPS</w:t>
            </w:r>
          </w:p>
        </w:tc>
        <w:tc>
          <w:tcPr>
            <w:tcW w:w="3969" w:type="dxa"/>
            <w:tcBorders>
              <w:top w:val="nil"/>
              <w:left w:val="nil"/>
              <w:bottom w:val="single" w:sz="8" w:space="0" w:color="auto"/>
              <w:right w:val="single" w:sz="8" w:space="0" w:color="auto"/>
            </w:tcBorders>
            <w:vAlign w:val="center"/>
          </w:tcPr>
          <w:p w14:paraId="505DC150" w14:textId="74B60A2F" w:rsidR="00EE08A3" w:rsidRPr="00655533" w:rsidRDefault="00EE08A3" w:rsidP="00EE08A3">
            <w:pPr>
              <w:jc w:val="left"/>
              <w:rPr>
                <w:rFonts w:ascii="BOG 2017" w:eastAsia="Times New Roman" w:hAnsi="BOG 2017" w:cs="Calibri"/>
                <w:sz w:val="18"/>
                <w:szCs w:val="18"/>
              </w:rPr>
            </w:pPr>
            <w:r w:rsidRPr="00655533">
              <w:rPr>
                <w:rFonts w:ascii="BOG 2017" w:eastAsia="Times New Roman" w:hAnsi="BOG 2017" w:cs="Calibri"/>
                <w:sz w:val="18"/>
                <w:szCs w:val="18"/>
              </w:rPr>
              <w:t>ARTronic ART 1000VA UPS Line Interactive</w:t>
            </w:r>
          </w:p>
        </w:tc>
        <w:tc>
          <w:tcPr>
            <w:tcW w:w="1155" w:type="dxa"/>
            <w:tcBorders>
              <w:top w:val="nil"/>
              <w:left w:val="nil"/>
              <w:bottom w:val="single" w:sz="8" w:space="0" w:color="auto"/>
              <w:right w:val="single" w:sz="8" w:space="0" w:color="auto"/>
            </w:tcBorders>
            <w:vAlign w:val="center"/>
          </w:tcPr>
          <w:p w14:paraId="37CDFE2B" w14:textId="06B1B61F" w:rsidR="00EE08A3" w:rsidRPr="00655533" w:rsidRDefault="00EE08A3" w:rsidP="00EE08A3">
            <w:pPr>
              <w:jc w:val="left"/>
              <w:rPr>
                <w:rFonts w:ascii="BOG 2017" w:eastAsia="Times New Roman" w:hAnsi="BOG 2017" w:cs="Calibri"/>
                <w:sz w:val="18"/>
                <w:szCs w:val="18"/>
              </w:rPr>
            </w:pPr>
            <w:r w:rsidRPr="00655533">
              <w:rPr>
                <w:rFonts w:ascii="BOG 2017" w:eastAsia="Times New Roman" w:hAnsi="BOG 2017" w:cs="Calibri"/>
                <w:sz w:val="18"/>
                <w:szCs w:val="18"/>
              </w:rPr>
              <w:t>50</w:t>
            </w:r>
          </w:p>
        </w:tc>
        <w:tc>
          <w:tcPr>
            <w:tcW w:w="1504" w:type="dxa"/>
            <w:tcBorders>
              <w:top w:val="nil"/>
              <w:left w:val="nil"/>
              <w:bottom w:val="single" w:sz="8" w:space="0" w:color="auto"/>
              <w:right w:val="single" w:sz="8" w:space="0" w:color="auto"/>
            </w:tcBorders>
            <w:vAlign w:val="center"/>
          </w:tcPr>
          <w:p w14:paraId="749C84DF" w14:textId="77777777" w:rsidR="00EE08A3" w:rsidRPr="00EE08A3" w:rsidRDefault="00EE08A3" w:rsidP="00EE08A3">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33A24344" w14:textId="77777777" w:rsidR="00EE08A3" w:rsidRPr="002A76E2" w:rsidRDefault="00EE08A3" w:rsidP="00EE08A3">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72FB630A" w14:textId="77777777" w:rsidR="00EE08A3" w:rsidRPr="002A76E2" w:rsidRDefault="00EE08A3" w:rsidP="00EE08A3">
            <w:pPr>
              <w:jc w:val="left"/>
              <w:rPr>
                <w:rFonts w:ascii="BOG 2017" w:eastAsia="Times New Roman" w:hAnsi="BOG 2017" w:cs="Calibri"/>
                <w:sz w:val="18"/>
                <w:szCs w:val="18"/>
              </w:rPr>
            </w:pPr>
          </w:p>
        </w:tc>
      </w:tr>
      <w:tr w:rsidR="00EE08A3" w:rsidRPr="006B49EF" w14:paraId="2D3B79EF" w14:textId="77777777" w:rsidTr="008141DA">
        <w:trPr>
          <w:trHeight w:val="223"/>
        </w:trPr>
        <w:tc>
          <w:tcPr>
            <w:tcW w:w="1595" w:type="dxa"/>
            <w:tcBorders>
              <w:top w:val="nil"/>
              <w:left w:val="single" w:sz="8" w:space="0" w:color="auto"/>
              <w:bottom w:val="single" w:sz="8" w:space="0" w:color="auto"/>
              <w:right w:val="single" w:sz="8" w:space="0" w:color="auto"/>
            </w:tcBorders>
            <w:vAlign w:val="center"/>
          </w:tcPr>
          <w:p w14:paraId="4E9C68F8" w14:textId="46E3080E" w:rsidR="00EE08A3" w:rsidRPr="00EE08A3" w:rsidRDefault="00EE08A3" w:rsidP="00EE08A3">
            <w:pPr>
              <w:jc w:val="left"/>
              <w:rPr>
                <w:rFonts w:ascii="BOG 2017" w:eastAsia="Times New Roman" w:hAnsi="BOG 2017" w:cs="Calibri"/>
                <w:sz w:val="18"/>
                <w:szCs w:val="18"/>
              </w:rPr>
            </w:pPr>
            <w:r w:rsidRPr="00EE08A3">
              <w:rPr>
                <w:rFonts w:ascii="BOG 2017" w:eastAsia="Times New Roman" w:hAnsi="BOG 2017" w:cs="Calibri"/>
                <w:sz w:val="18"/>
                <w:szCs w:val="18"/>
              </w:rPr>
              <w:t>UPS</w:t>
            </w:r>
          </w:p>
        </w:tc>
        <w:tc>
          <w:tcPr>
            <w:tcW w:w="3969" w:type="dxa"/>
            <w:tcBorders>
              <w:top w:val="nil"/>
              <w:left w:val="nil"/>
              <w:bottom w:val="single" w:sz="8" w:space="0" w:color="auto"/>
              <w:right w:val="single" w:sz="8" w:space="0" w:color="auto"/>
            </w:tcBorders>
            <w:vAlign w:val="center"/>
          </w:tcPr>
          <w:p w14:paraId="6173C364" w14:textId="2C339DA8" w:rsidR="00EE08A3" w:rsidRPr="00655533" w:rsidRDefault="00EE08A3" w:rsidP="00EE08A3">
            <w:pPr>
              <w:jc w:val="left"/>
              <w:rPr>
                <w:rFonts w:ascii="BOG 2017" w:eastAsia="Times New Roman" w:hAnsi="BOG 2017" w:cs="Calibri"/>
                <w:sz w:val="18"/>
                <w:szCs w:val="18"/>
              </w:rPr>
            </w:pPr>
            <w:r w:rsidRPr="00EE08A3">
              <w:rPr>
                <w:rFonts w:ascii="BOG 2017" w:eastAsia="Times New Roman" w:hAnsi="BOG 2017" w:cs="Calibri"/>
                <w:sz w:val="18"/>
                <w:szCs w:val="18"/>
              </w:rPr>
              <w:t>ARTronic ART 2000VA UPS Line Interactive</w:t>
            </w:r>
          </w:p>
        </w:tc>
        <w:tc>
          <w:tcPr>
            <w:tcW w:w="1155" w:type="dxa"/>
            <w:tcBorders>
              <w:top w:val="nil"/>
              <w:left w:val="nil"/>
              <w:bottom w:val="single" w:sz="8" w:space="0" w:color="auto"/>
              <w:right w:val="single" w:sz="8" w:space="0" w:color="auto"/>
            </w:tcBorders>
            <w:vAlign w:val="center"/>
          </w:tcPr>
          <w:p w14:paraId="311BB03E" w14:textId="5E1D4B8C" w:rsidR="00EE08A3" w:rsidRPr="00655533" w:rsidRDefault="00EE08A3" w:rsidP="00EE08A3">
            <w:pPr>
              <w:jc w:val="left"/>
              <w:rPr>
                <w:rFonts w:ascii="BOG 2017" w:eastAsia="Times New Roman" w:hAnsi="BOG 2017" w:cs="Calibri"/>
                <w:sz w:val="18"/>
                <w:szCs w:val="18"/>
              </w:rPr>
            </w:pPr>
            <w:r>
              <w:rPr>
                <w:rFonts w:ascii="BOG 2017" w:eastAsia="Times New Roman" w:hAnsi="BOG 2017" w:cs="Calibri"/>
                <w:sz w:val="18"/>
                <w:szCs w:val="18"/>
              </w:rPr>
              <w:t>20</w:t>
            </w:r>
          </w:p>
        </w:tc>
        <w:tc>
          <w:tcPr>
            <w:tcW w:w="1504" w:type="dxa"/>
            <w:tcBorders>
              <w:top w:val="nil"/>
              <w:left w:val="nil"/>
              <w:bottom w:val="single" w:sz="8" w:space="0" w:color="auto"/>
              <w:right w:val="single" w:sz="8" w:space="0" w:color="auto"/>
            </w:tcBorders>
            <w:vAlign w:val="center"/>
          </w:tcPr>
          <w:p w14:paraId="0E44F6FE" w14:textId="77777777" w:rsidR="00EE08A3" w:rsidRPr="00EE08A3" w:rsidRDefault="00EE08A3" w:rsidP="00EE08A3">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06C43828" w14:textId="77777777" w:rsidR="00EE08A3" w:rsidRPr="002A76E2" w:rsidRDefault="00EE08A3" w:rsidP="00EE08A3">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30AB0DC1" w14:textId="77777777" w:rsidR="00EE08A3" w:rsidRPr="002A76E2" w:rsidRDefault="00EE08A3" w:rsidP="00EE08A3">
            <w:pPr>
              <w:jc w:val="left"/>
              <w:rPr>
                <w:rFonts w:ascii="BOG 2017" w:eastAsia="Times New Roman" w:hAnsi="BOG 2017" w:cs="Calibri"/>
                <w:sz w:val="18"/>
                <w:szCs w:val="18"/>
              </w:rPr>
            </w:pPr>
          </w:p>
        </w:tc>
      </w:tr>
      <w:tr w:rsidR="00EE08A3" w:rsidRPr="006B49EF" w14:paraId="354AFA8A" w14:textId="77777777" w:rsidTr="008141DA">
        <w:trPr>
          <w:trHeight w:val="223"/>
        </w:trPr>
        <w:tc>
          <w:tcPr>
            <w:tcW w:w="1595" w:type="dxa"/>
            <w:tcBorders>
              <w:top w:val="nil"/>
              <w:left w:val="single" w:sz="8" w:space="0" w:color="auto"/>
              <w:bottom w:val="single" w:sz="8" w:space="0" w:color="auto"/>
              <w:right w:val="single" w:sz="8" w:space="0" w:color="auto"/>
            </w:tcBorders>
            <w:vAlign w:val="center"/>
            <w:hideMark/>
          </w:tcPr>
          <w:p w14:paraId="7DBC1586" w14:textId="11ABF56C" w:rsidR="00EE08A3" w:rsidRPr="00EE08A3" w:rsidRDefault="00EE08A3" w:rsidP="00EE08A3">
            <w:pPr>
              <w:jc w:val="left"/>
              <w:rPr>
                <w:rFonts w:ascii="BOG 2017" w:eastAsia="Times New Roman" w:hAnsi="BOG 2017" w:cs="Calibri"/>
                <w:sz w:val="18"/>
                <w:szCs w:val="18"/>
              </w:rPr>
            </w:pPr>
            <w:r w:rsidRPr="00EE08A3">
              <w:rPr>
                <w:rFonts w:ascii="BOG 2017" w:eastAsia="Times New Roman" w:hAnsi="BOG 2017" w:cs="Calibri"/>
                <w:sz w:val="18"/>
                <w:szCs w:val="18"/>
              </w:rPr>
              <w:t>UPS</w:t>
            </w:r>
          </w:p>
        </w:tc>
        <w:tc>
          <w:tcPr>
            <w:tcW w:w="3969" w:type="dxa"/>
            <w:tcBorders>
              <w:top w:val="nil"/>
              <w:left w:val="nil"/>
              <w:bottom w:val="single" w:sz="8" w:space="0" w:color="auto"/>
              <w:right w:val="single" w:sz="8" w:space="0" w:color="auto"/>
            </w:tcBorders>
            <w:vAlign w:val="center"/>
            <w:hideMark/>
          </w:tcPr>
          <w:p w14:paraId="3392BF40" w14:textId="68A018BE" w:rsidR="00EE08A3" w:rsidRPr="002A76E2" w:rsidRDefault="00EE08A3" w:rsidP="00EE08A3">
            <w:pPr>
              <w:jc w:val="left"/>
              <w:rPr>
                <w:rFonts w:ascii="BOG 2017" w:eastAsia="Times New Roman" w:hAnsi="BOG 2017" w:cs="Calibri"/>
                <w:sz w:val="18"/>
                <w:szCs w:val="18"/>
              </w:rPr>
            </w:pPr>
            <w:r w:rsidRPr="00EE08A3">
              <w:rPr>
                <w:rFonts w:ascii="BOG 2017" w:eastAsia="Times New Roman" w:hAnsi="BOG 2017" w:cs="Calibri"/>
                <w:sz w:val="18"/>
                <w:szCs w:val="18"/>
              </w:rPr>
              <w:t>ARTronic ART 3000VA UPS</w:t>
            </w:r>
          </w:p>
        </w:tc>
        <w:tc>
          <w:tcPr>
            <w:tcW w:w="1155" w:type="dxa"/>
            <w:tcBorders>
              <w:top w:val="nil"/>
              <w:left w:val="nil"/>
              <w:bottom w:val="single" w:sz="8" w:space="0" w:color="auto"/>
              <w:right w:val="single" w:sz="8" w:space="0" w:color="auto"/>
            </w:tcBorders>
            <w:vAlign w:val="center"/>
            <w:hideMark/>
          </w:tcPr>
          <w:p w14:paraId="1FBFC09C" w14:textId="3EB36B7B" w:rsidR="00EE08A3" w:rsidRPr="00EE08A3" w:rsidRDefault="0023166F" w:rsidP="00EE08A3">
            <w:pPr>
              <w:jc w:val="left"/>
              <w:rPr>
                <w:rFonts w:ascii="BOG 2017" w:eastAsia="Times New Roman" w:hAnsi="BOG 2017" w:cs="Calibri"/>
                <w:sz w:val="18"/>
                <w:szCs w:val="18"/>
              </w:rPr>
            </w:pPr>
            <w:r>
              <w:rPr>
                <w:rFonts w:ascii="BOG 2017" w:eastAsia="Times New Roman" w:hAnsi="BOG 2017" w:cs="Calibri"/>
                <w:sz w:val="18"/>
                <w:szCs w:val="18"/>
              </w:rPr>
              <w:t>3</w:t>
            </w:r>
            <w:r w:rsidR="00EE08A3" w:rsidRPr="00EE08A3">
              <w:rPr>
                <w:rFonts w:ascii="BOG 2017" w:eastAsia="Times New Roman" w:hAnsi="BOG 2017" w:cs="Calibri"/>
                <w:sz w:val="18"/>
                <w:szCs w:val="18"/>
              </w:rPr>
              <w:t>0</w:t>
            </w:r>
          </w:p>
        </w:tc>
        <w:tc>
          <w:tcPr>
            <w:tcW w:w="1504" w:type="dxa"/>
            <w:tcBorders>
              <w:top w:val="nil"/>
              <w:left w:val="nil"/>
              <w:bottom w:val="single" w:sz="8" w:space="0" w:color="auto"/>
              <w:right w:val="single" w:sz="8" w:space="0" w:color="auto"/>
            </w:tcBorders>
            <w:vAlign w:val="center"/>
            <w:hideMark/>
          </w:tcPr>
          <w:p w14:paraId="1A4CE9A8" w14:textId="77777777" w:rsidR="00EE08A3" w:rsidRPr="002A76E2" w:rsidRDefault="00EE08A3" w:rsidP="00EE08A3">
            <w:pPr>
              <w:jc w:val="center"/>
              <w:rPr>
                <w:rFonts w:ascii="BOG 2017" w:eastAsia="Times New Roman" w:hAnsi="BOG 2017" w:cs="Calibri"/>
                <w:sz w:val="18"/>
                <w:szCs w:val="18"/>
              </w:rPr>
            </w:pPr>
            <w:r w:rsidRPr="00EE08A3">
              <w:rPr>
                <w:rFonts w:ascii="BOG 2017" w:eastAsia="Times New Roman" w:hAnsi="BOG 2017" w:cs="Calibri"/>
                <w:sz w:val="18"/>
                <w:szCs w:val="18"/>
              </w:rPr>
              <w:t> </w:t>
            </w:r>
          </w:p>
        </w:tc>
        <w:tc>
          <w:tcPr>
            <w:tcW w:w="1272" w:type="dxa"/>
            <w:tcBorders>
              <w:top w:val="nil"/>
              <w:left w:val="nil"/>
              <w:bottom w:val="single" w:sz="8" w:space="0" w:color="auto"/>
              <w:right w:val="single" w:sz="8" w:space="0" w:color="auto"/>
            </w:tcBorders>
            <w:vAlign w:val="center"/>
            <w:hideMark/>
          </w:tcPr>
          <w:p w14:paraId="13AC825D" w14:textId="77777777" w:rsidR="00EE08A3" w:rsidRPr="002A76E2" w:rsidRDefault="00EE08A3" w:rsidP="00EE08A3">
            <w:pPr>
              <w:jc w:val="left"/>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876" w:type="dxa"/>
            <w:tcBorders>
              <w:top w:val="nil"/>
              <w:left w:val="nil"/>
              <w:bottom w:val="single" w:sz="8" w:space="0" w:color="auto"/>
              <w:right w:val="single" w:sz="8" w:space="0" w:color="auto"/>
            </w:tcBorders>
            <w:vAlign w:val="center"/>
            <w:hideMark/>
          </w:tcPr>
          <w:p w14:paraId="5C11E354" w14:textId="77777777" w:rsidR="00EE08A3" w:rsidRPr="002A76E2" w:rsidRDefault="00EE08A3" w:rsidP="00EE08A3">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bl>
    <w:p w14:paraId="707529EB" w14:textId="77777777" w:rsidR="00F93ABC" w:rsidRPr="00831E4A" w:rsidRDefault="00F93ABC" w:rsidP="00C50B02">
      <w:pPr>
        <w:pStyle w:val="a0"/>
        <w:numPr>
          <w:ilvl w:val="0"/>
          <w:numId w:val="0"/>
        </w:numPr>
        <w:ind w:left="360"/>
        <w:rPr>
          <w:lang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3900DE" w:rsidRPr="006B49EF" w14:paraId="098ED2A3"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11CB1A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Total USD</w:t>
            </w:r>
            <w:r>
              <w:rPr>
                <w:rFonts w:ascii="Calibri" w:eastAsia="Times New Roman" w:hAnsi="Calibri" w:cs="Calibri"/>
                <w:color w:val="000000"/>
                <w:sz w:val="22"/>
                <w:szCs w:val="22"/>
              </w:rPr>
              <w:t xml:space="preserve"> incl VAT</w:t>
            </w:r>
          </w:p>
        </w:tc>
        <w:tc>
          <w:tcPr>
            <w:tcW w:w="960" w:type="dxa"/>
            <w:tcBorders>
              <w:top w:val="single" w:sz="8" w:space="0" w:color="auto"/>
              <w:left w:val="nil"/>
              <w:bottom w:val="single" w:sz="8" w:space="0" w:color="auto"/>
              <w:right w:val="single" w:sz="8" w:space="0" w:color="auto"/>
            </w:tcBorders>
            <w:noWrap/>
            <w:vAlign w:val="center"/>
            <w:hideMark/>
          </w:tcPr>
          <w:p w14:paraId="44D71008" w14:textId="2183D9F2" w:rsidR="003900DE" w:rsidRPr="006B49EF" w:rsidRDefault="003900DE" w:rsidP="003900DE">
            <w:pPr>
              <w:jc w:val="center"/>
              <w:rPr>
                <w:rFonts w:eastAsia="Times New Roman" w:cs="Calibri"/>
                <w:color w:val="404040"/>
              </w:rPr>
            </w:pPr>
          </w:p>
        </w:tc>
      </w:tr>
      <w:tr w:rsidR="003900DE" w:rsidRPr="006B49EF" w14:paraId="32B0C13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73359FB"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80FD6D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0%</w:t>
            </w:r>
          </w:p>
        </w:tc>
      </w:tr>
      <w:tr w:rsidR="003900DE" w:rsidRPr="006B49EF" w14:paraId="6E896EB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1F1BBD7"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71C004EA"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 </w:t>
            </w:r>
          </w:p>
        </w:tc>
      </w:tr>
    </w:tbl>
    <w:p w14:paraId="0A5BB364" w14:textId="77777777" w:rsidR="000238DE" w:rsidRPr="00870A14" w:rsidRDefault="000238DE">
      <w:pPr>
        <w:jc w:val="left"/>
      </w:pPr>
    </w:p>
    <w:p w14:paraId="7AFDC290" w14:textId="77777777" w:rsidR="000238DE" w:rsidRDefault="000238DE">
      <w:pPr>
        <w:jc w:val="left"/>
        <w:rPr>
          <w:lang w:val="ka-GE"/>
        </w:rPr>
      </w:pPr>
    </w:p>
    <w:p w14:paraId="741E1A33" w14:textId="77777777" w:rsidR="000238DE" w:rsidRDefault="000238DE">
      <w:pPr>
        <w:jc w:val="left"/>
        <w:rPr>
          <w:lang w:val="ka-GE"/>
        </w:rPr>
      </w:pPr>
    </w:p>
    <w:p w14:paraId="41E01B86" w14:textId="6796FE99" w:rsidR="000238DE" w:rsidRDefault="000238DE" w:rsidP="00453E35">
      <w:pPr>
        <w:tabs>
          <w:tab w:val="left" w:pos="840"/>
        </w:tabs>
        <w:jc w:val="left"/>
        <w:rPr>
          <w:lang w:val="ka-GE"/>
        </w:rPr>
      </w:pPr>
    </w:p>
    <w:p w14:paraId="4D8CCD67" w14:textId="470D5504" w:rsidR="000238DE" w:rsidRDefault="00B305E3" w:rsidP="00B305E3">
      <w:pPr>
        <w:tabs>
          <w:tab w:val="left" w:pos="5620"/>
        </w:tabs>
        <w:jc w:val="left"/>
        <w:rPr>
          <w:lang w:val="ka-GE"/>
        </w:rPr>
      </w:pPr>
      <w:r>
        <w:rPr>
          <w:lang w:val="ka-GE"/>
        </w:rPr>
        <w:tab/>
      </w:r>
    </w:p>
    <w:p w14:paraId="6809FEBA" w14:textId="39E4674C" w:rsidR="00B54332" w:rsidRDefault="000238DE">
      <w:pPr>
        <w:jc w:val="left"/>
        <w:rPr>
          <w:lang w:val="ka-GE"/>
        </w:rPr>
      </w:pPr>
      <w:r>
        <w:rPr>
          <w:lang w:val="ka-GE"/>
        </w:rPr>
        <w:br w:type="textWrapping" w:clear="all"/>
      </w:r>
    </w:p>
    <w:p w14:paraId="202A923A" w14:textId="70489972" w:rsidR="00A00A1C" w:rsidRDefault="00EE08A3" w:rsidP="008141DA">
      <w:pPr>
        <w:jc w:val="left"/>
        <w:rPr>
          <w:b/>
          <w:sz w:val="18"/>
          <w:u w:val="single"/>
          <w:lang w:val="ka-GE"/>
        </w:rPr>
      </w:pPr>
      <w:r w:rsidRPr="00EE08A3">
        <w:rPr>
          <w:b/>
          <w:sz w:val="18"/>
          <w:u w:val="single"/>
          <w:lang w:val="ka-GE"/>
        </w:rPr>
        <w:t>ტენდერში განიხილება მითითებული მოდელები, ან მათი მსგავსი კონფიგურაციის მქონე მოდელი, რომელიც შეფასდება გატესტვის შედეგად.</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493E" w14:textId="77777777" w:rsidR="00A81DC3" w:rsidRDefault="00A81DC3" w:rsidP="002E7950">
      <w:r>
        <w:separator/>
      </w:r>
    </w:p>
  </w:endnote>
  <w:endnote w:type="continuationSeparator" w:id="0">
    <w:p w14:paraId="0DB1011A" w14:textId="77777777" w:rsidR="00A81DC3" w:rsidRDefault="00A81DC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361C5">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361C5">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F0AA" w14:textId="77777777" w:rsidR="00A81DC3" w:rsidRDefault="00A81DC3" w:rsidP="002E7950">
      <w:r>
        <w:separator/>
      </w:r>
    </w:p>
  </w:footnote>
  <w:footnote w:type="continuationSeparator" w:id="0">
    <w:p w14:paraId="1D233664" w14:textId="77777777" w:rsidR="00A81DC3" w:rsidRDefault="00A81DC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26EF3"/>
    <w:multiLevelType w:val="hybridMultilevel"/>
    <w:tmpl w:val="600AF510"/>
    <w:lvl w:ilvl="0" w:tplc="B198C83A">
      <w:start w:val="23"/>
      <w:numFmt w:val="bullet"/>
      <w:lvlText w:val="-"/>
      <w:lvlJc w:val="left"/>
      <w:pPr>
        <w:ind w:left="720" w:hanging="360"/>
      </w:pPr>
      <w:rPr>
        <w:rFonts w:ascii="Sylfaen" w:eastAsiaTheme="minorHAnsi" w:hAnsi="Sylfaen" w:cs="Sylfaen"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D03271C"/>
    <w:multiLevelType w:val="hybridMultilevel"/>
    <w:tmpl w:val="171E624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4681E"/>
    <w:multiLevelType w:val="hybridMultilevel"/>
    <w:tmpl w:val="2C368F3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425567">
    <w:abstractNumId w:val="17"/>
  </w:num>
  <w:num w:numId="2" w16cid:durableId="156650346">
    <w:abstractNumId w:val="2"/>
  </w:num>
  <w:num w:numId="3" w16cid:durableId="931939233">
    <w:abstractNumId w:val="24"/>
  </w:num>
  <w:num w:numId="4" w16cid:durableId="1787772749">
    <w:abstractNumId w:val="15"/>
  </w:num>
  <w:num w:numId="5" w16cid:durableId="1469515155">
    <w:abstractNumId w:val="13"/>
  </w:num>
  <w:num w:numId="6" w16cid:durableId="198072168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333491415">
    <w:abstractNumId w:val="6"/>
  </w:num>
  <w:num w:numId="8" w16cid:durableId="2105759252">
    <w:abstractNumId w:val="20"/>
  </w:num>
  <w:num w:numId="9" w16cid:durableId="829978065">
    <w:abstractNumId w:val="22"/>
  </w:num>
  <w:num w:numId="10" w16cid:durableId="671690408">
    <w:abstractNumId w:val="3"/>
  </w:num>
  <w:num w:numId="11" w16cid:durableId="522673791">
    <w:abstractNumId w:val="21"/>
  </w:num>
  <w:num w:numId="12" w16cid:durableId="453059143">
    <w:abstractNumId w:val="0"/>
  </w:num>
  <w:num w:numId="13" w16cid:durableId="1839533974">
    <w:abstractNumId w:val="1"/>
  </w:num>
  <w:num w:numId="14" w16cid:durableId="146476461">
    <w:abstractNumId w:val="25"/>
  </w:num>
  <w:num w:numId="15" w16cid:durableId="30233240">
    <w:abstractNumId w:val="7"/>
  </w:num>
  <w:num w:numId="16" w16cid:durableId="1705330801">
    <w:abstractNumId w:val="19"/>
  </w:num>
  <w:num w:numId="17" w16cid:durableId="813528149">
    <w:abstractNumId w:val="8"/>
  </w:num>
  <w:num w:numId="18" w16cid:durableId="945579860">
    <w:abstractNumId w:val="11"/>
  </w:num>
  <w:num w:numId="19" w16cid:durableId="1120950319">
    <w:abstractNumId w:val="16"/>
  </w:num>
  <w:num w:numId="20" w16cid:durableId="30882550">
    <w:abstractNumId w:val="12"/>
  </w:num>
  <w:num w:numId="21" w16cid:durableId="1653559947">
    <w:abstractNumId w:val="4"/>
  </w:num>
  <w:num w:numId="22" w16cid:durableId="1517383823">
    <w:abstractNumId w:val="9"/>
  </w:num>
  <w:num w:numId="23" w16cid:durableId="962616962">
    <w:abstractNumId w:val="10"/>
  </w:num>
  <w:num w:numId="24" w16cid:durableId="313263432">
    <w:abstractNumId w:val="18"/>
  </w:num>
  <w:num w:numId="25" w16cid:durableId="1581520270">
    <w:abstractNumId w:val="23"/>
  </w:num>
  <w:num w:numId="26" w16cid:durableId="875002026">
    <w:abstractNumId w:val="5"/>
  </w:num>
  <w:num w:numId="27" w16cid:durableId="192479436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1C5"/>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91"/>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3C15"/>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397C"/>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166F"/>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1A"/>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070"/>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0F9"/>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11E"/>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533"/>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0C9C"/>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1DA"/>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A1C"/>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3153"/>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1DC3"/>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4B3"/>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606"/>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F6F"/>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562"/>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8A3"/>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F52"/>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6232825">
      <w:bodyDiv w:val="1"/>
      <w:marLeft w:val="0"/>
      <w:marRight w:val="0"/>
      <w:marTop w:val="0"/>
      <w:marBottom w:val="0"/>
      <w:divBdr>
        <w:top w:val="none" w:sz="0" w:space="0" w:color="auto"/>
        <w:left w:val="none" w:sz="0" w:space="0" w:color="auto"/>
        <w:bottom w:val="none" w:sz="0" w:space="0" w:color="auto"/>
        <w:right w:val="none" w:sz="0" w:space="0" w:color="auto"/>
      </w:divBdr>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02218515">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806092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78832322">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46CBFE-1581-4AD5-BDD9-04B5EB61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588</Words>
  <Characters>4512</Characters>
  <Application>Microsoft Office Word</Application>
  <DocSecurity>4</DocSecurity>
  <Lines>188</Lines>
  <Paragraphs>96</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cp:revision>
  <cp:lastPrinted>2019-10-17T14:03:00Z</cp:lastPrinted>
  <dcterms:created xsi:type="dcterms:W3CDTF">2026-02-12T08:36:00Z</dcterms:created>
  <dcterms:modified xsi:type="dcterms:W3CDTF">2026-02-12T08:36:00Z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