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52AD4FA4">
                    <wp:simplePos x="0" y="0"/>
                    <wp:positionH relativeFrom="margin">
                      <wp:posOffset>-243840</wp:posOffset>
                    </wp:positionH>
                    <wp:positionV relativeFrom="margin">
                      <wp:posOffset>3497580</wp:posOffset>
                    </wp:positionV>
                    <wp:extent cx="6713220" cy="685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71322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15721EDF" w:rsidR="006F3955" w:rsidRPr="00BA4C85" w:rsidRDefault="003F76DE" w:rsidP="006D71D6">
                                <w:pPr>
                                  <w:jc w:val="center"/>
                                  <w:rPr>
                                    <w:b/>
                                    <w:color w:val="E36C0A" w:themeColor="accent6" w:themeShade="BF"/>
                                    <w:sz w:val="48"/>
                                    <w:szCs w:val="56"/>
                                    <w:lang w:val="ka-GE"/>
                                  </w:rPr>
                                </w:pPr>
                                <w:r>
                                  <w:rPr>
                                    <w:rFonts w:eastAsiaTheme="majorEastAsia" w:cs="Sylfaen"/>
                                    <w:b/>
                                    <w:bCs/>
                                    <w:color w:val="141B3D"/>
                                    <w:sz w:val="32"/>
                                    <w:szCs w:val="29"/>
                                    <w:lang w:val="ka-GE" w:eastAsia="ja-JP"/>
                                  </w:rPr>
                                  <w:t>აუქციონი სალაროს</w:t>
                                </w:r>
                                <w:r w:rsidR="00D27098">
                                  <w:rPr>
                                    <w:rFonts w:eastAsiaTheme="majorEastAsia" w:cs="Sylfaen"/>
                                    <w:b/>
                                    <w:bCs/>
                                    <w:color w:val="141B3D"/>
                                    <w:sz w:val="32"/>
                                    <w:szCs w:val="29"/>
                                    <w:lang w:val="ka-GE" w:eastAsia="ja-JP"/>
                                  </w:rPr>
                                  <w:t>/ლომბარდის</w:t>
                                </w:r>
                                <w:r>
                                  <w:rPr>
                                    <w:rFonts w:eastAsiaTheme="majorEastAsia" w:cs="Sylfaen"/>
                                    <w:b/>
                                    <w:bCs/>
                                    <w:color w:val="141B3D"/>
                                    <w:sz w:val="32"/>
                                    <w:szCs w:val="29"/>
                                    <w:lang w:val="ka-GE" w:eastAsia="ja-JP"/>
                                  </w:rPr>
                                  <w:t xml:space="preserve"> პოლიეთილენის პარკების 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2pt;margin-top:275.4pt;width:528.6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" fillcolor="white [3201]" stroked="f" strokeweight=".5pt">
                    <v:textbox>
                      <w:txbxContent>
                        <w:p w14:paraId="573A4337" w14:textId="15721EDF" w:rsidR="006F3955" w:rsidRPr="00BA4C85" w:rsidRDefault="003F76DE" w:rsidP="006D71D6">
                          <w:pPr>
                            <w:jc w:val="center"/>
                            <w:rPr>
                              <w:b/>
                              <w:color w:val="E36C0A" w:themeColor="accent6" w:themeShade="BF"/>
                              <w:sz w:val="48"/>
                              <w:szCs w:val="56"/>
                              <w:lang w:val="ka-GE"/>
                            </w:rPr>
                          </w:pPr>
                          <w:r>
                            <w:rPr>
                              <w:rFonts w:eastAsiaTheme="majorEastAsia" w:cs="Sylfaen"/>
                              <w:b/>
                              <w:bCs/>
                              <w:color w:val="141B3D"/>
                              <w:sz w:val="32"/>
                              <w:szCs w:val="29"/>
                              <w:lang w:val="ka-GE" w:eastAsia="ja-JP"/>
                            </w:rPr>
                            <w:t>აუქციონი სალაროს</w:t>
                          </w:r>
                          <w:r w:rsidR="00D27098">
                            <w:rPr>
                              <w:rFonts w:eastAsiaTheme="majorEastAsia" w:cs="Sylfaen"/>
                              <w:b/>
                              <w:bCs/>
                              <w:color w:val="141B3D"/>
                              <w:sz w:val="32"/>
                              <w:szCs w:val="29"/>
                              <w:lang w:val="ka-GE" w:eastAsia="ja-JP"/>
                            </w:rPr>
                            <w:t>/ლომბარდის</w:t>
                          </w:r>
                          <w:r>
                            <w:rPr>
                              <w:rFonts w:eastAsiaTheme="majorEastAsia" w:cs="Sylfaen"/>
                              <w:b/>
                              <w:bCs/>
                              <w:color w:val="141B3D"/>
                              <w:sz w:val="32"/>
                              <w:szCs w:val="29"/>
                              <w:lang w:val="ka-GE" w:eastAsia="ja-JP"/>
                            </w:rPr>
                            <w:t xml:space="preserve"> პოლიეთილენის პარკების შესყიდვაზე</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4912043D" w:rsidR="006F3955" w:rsidRDefault="003F76DE" w:rsidP="007C5AE6">
                                      <w:pPr>
                                        <w:rPr>
                                          <w:lang w:val="ka-GE"/>
                                        </w:rPr>
                                      </w:pPr>
                                      <w:r>
                                        <w:rPr>
                                          <w:lang w:val="ka-GE"/>
                                        </w:rPr>
                                        <w:t>18</w:t>
                                      </w:r>
                                      <w:r w:rsidR="00BD2A07">
                                        <w:rPr>
                                          <w:lang w:val="ka-GE"/>
                                        </w:rPr>
                                        <w:t xml:space="preserve"> </w:t>
                                      </w:r>
                                      <w:r>
                                        <w:rPr>
                                          <w:lang w:val="ka-GE"/>
                                        </w:rPr>
                                        <w:t>თებერვალი</w:t>
                                      </w:r>
                                      <w:r w:rsidR="00DE53CA">
                                        <w:rPr>
                                          <w:lang w:val="ka-GE"/>
                                        </w:rPr>
                                        <w:t xml:space="preserve"> </w:t>
                                      </w:r>
                                      <w:r w:rsidR="006F3955">
                                        <w:rPr>
                                          <w:lang w:val="ka-GE"/>
                                        </w:rPr>
                                        <w:t>20</w:t>
                                      </w:r>
                                      <w:r w:rsidR="00D12A89">
                                        <w:rPr>
                                          <w:lang w:val="ka-GE"/>
                                        </w:rPr>
                                        <w:t>2</w:t>
                                      </w:r>
                                      <w:r>
                                        <w:rPr>
                                          <w:lang w:val="ka-GE"/>
                                        </w:rPr>
                                        <w:t>6</w:t>
                                      </w:r>
                                    </w:p>
                                    <w:p w14:paraId="5B62700D" w14:textId="5FCB335A" w:rsidR="006F3955" w:rsidRPr="00D52AD2" w:rsidRDefault="003F76DE" w:rsidP="00D51B14">
                                      <w:pPr>
                                        <w:rPr>
                                          <w:b/>
                                          <w:bCs/>
                                          <w:lang w:val="ka-GE"/>
                                        </w:rPr>
                                      </w:pPr>
                                      <w:r>
                                        <w:rPr>
                                          <w:b/>
                                          <w:bCs/>
                                          <w:color w:val="FF0000"/>
                                          <w:lang w:val="ka-GE"/>
                                        </w:rPr>
                                        <w:t>25</w:t>
                                      </w:r>
                                      <w:r w:rsidR="00453E35" w:rsidRPr="00D52AD2">
                                        <w:rPr>
                                          <w:b/>
                                          <w:bCs/>
                                          <w:color w:val="FF0000"/>
                                          <w:lang w:val="ka-GE"/>
                                        </w:rPr>
                                        <w:t xml:space="preserve"> </w:t>
                                      </w:r>
                                      <w:r>
                                        <w:rPr>
                                          <w:b/>
                                          <w:bCs/>
                                          <w:color w:val="FF0000"/>
                                          <w:lang w:val="ka-GE"/>
                                        </w:rPr>
                                        <w:t>თებერვალი</w:t>
                                      </w:r>
                                      <w:r w:rsidR="00D12A89" w:rsidRPr="00D52AD2">
                                        <w:rPr>
                                          <w:b/>
                                          <w:bCs/>
                                          <w:color w:val="FF0000"/>
                                          <w:lang w:val="ka-GE"/>
                                        </w:rPr>
                                        <w:t xml:space="preserve"> 202</w:t>
                                      </w:r>
                                      <w:r>
                                        <w:rPr>
                                          <w:b/>
                                          <w:bCs/>
                                          <w:color w:val="FF0000"/>
                                          <w:lang w:val="ka-GE"/>
                                        </w:rPr>
                                        <w:t>6</w:t>
                                      </w:r>
                                      <w:r w:rsidR="008F5024" w:rsidRPr="00D52AD2">
                                        <w:rPr>
                                          <w:b/>
                                          <w:bCs/>
                                          <w:color w:val="FF0000"/>
                                          <w:lang w:val="ka-GE"/>
                                        </w:rPr>
                                        <w:t xml:space="preserve"> (</w:t>
                                      </w:r>
                                      <w:r w:rsidR="00A749F5">
                                        <w:rPr>
                                          <w:b/>
                                          <w:bCs/>
                                          <w:color w:val="FF0000"/>
                                          <w:lang w:val="ka-GE"/>
                                        </w:rPr>
                                        <w:t>1</w:t>
                                      </w:r>
                                      <w:r w:rsidR="00177C89">
                                        <w:rPr>
                                          <w:b/>
                                          <w:bCs/>
                                          <w:color w:val="FF0000"/>
                                          <w:lang w:val="ka-GE"/>
                                        </w:rPr>
                                        <w:t>5</w:t>
                                      </w:r>
                                      <w:r w:rsidR="008F5024" w:rsidRPr="00D52AD2">
                                        <w:rPr>
                                          <w:b/>
                                          <w:bCs/>
                                          <w:color w:val="FF0000"/>
                                          <w:lang w:val="ka-GE"/>
                                        </w:rPr>
                                        <w:t>:00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9"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4912043D" w:rsidR="006F3955" w:rsidRDefault="003F76DE" w:rsidP="007C5AE6">
                                <w:pPr>
                                  <w:rPr>
                                    <w:lang w:val="ka-GE"/>
                                  </w:rPr>
                                </w:pPr>
                                <w:r>
                                  <w:rPr>
                                    <w:lang w:val="ka-GE"/>
                                  </w:rPr>
                                  <w:t>18</w:t>
                                </w:r>
                                <w:r w:rsidR="00BD2A07">
                                  <w:rPr>
                                    <w:lang w:val="ka-GE"/>
                                  </w:rPr>
                                  <w:t xml:space="preserve"> </w:t>
                                </w:r>
                                <w:r>
                                  <w:rPr>
                                    <w:lang w:val="ka-GE"/>
                                  </w:rPr>
                                  <w:t>თებერვალი</w:t>
                                </w:r>
                                <w:r w:rsidR="00DE53CA">
                                  <w:rPr>
                                    <w:lang w:val="ka-GE"/>
                                  </w:rPr>
                                  <w:t xml:space="preserve"> </w:t>
                                </w:r>
                                <w:r w:rsidR="006F3955">
                                  <w:rPr>
                                    <w:lang w:val="ka-GE"/>
                                  </w:rPr>
                                  <w:t>20</w:t>
                                </w:r>
                                <w:r w:rsidR="00D12A89">
                                  <w:rPr>
                                    <w:lang w:val="ka-GE"/>
                                  </w:rPr>
                                  <w:t>2</w:t>
                                </w:r>
                                <w:r>
                                  <w:rPr>
                                    <w:lang w:val="ka-GE"/>
                                  </w:rPr>
                                  <w:t>6</w:t>
                                </w:r>
                              </w:p>
                              <w:p w14:paraId="5B62700D" w14:textId="5FCB335A" w:rsidR="006F3955" w:rsidRPr="00D52AD2" w:rsidRDefault="003F76DE" w:rsidP="00D51B14">
                                <w:pPr>
                                  <w:rPr>
                                    <w:b/>
                                    <w:bCs/>
                                    <w:lang w:val="ka-GE"/>
                                  </w:rPr>
                                </w:pPr>
                                <w:r>
                                  <w:rPr>
                                    <w:b/>
                                    <w:bCs/>
                                    <w:color w:val="FF0000"/>
                                    <w:lang w:val="ka-GE"/>
                                  </w:rPr>
                                  <w:t>25</w:t>
                                </w:r>
                                <w:r w:rsidR="00453E35" w:rsidRPr="00D52AD2">
                                  <w:rPr>
                                    <w:b/>
                                    <w:bCs/>
                                    <w:color w:val="FF0000"/>
                                    <w:lang w:val="ka-GE"/>
                                  </w:rPr>
                                  <w:t xml:space="preserve"> </w:t>
                                </w:r>
                                <w:r>
                                  <w:rPr>
                                    <w:b/>
                                    <w:bCs/>
                                    <w:color w:val="FF0000"/>
                                    <w:lang w:val="ka-GE"/>
                                  </w:rPr>
                                  <w:t>თებერვალი</w:t>
                                </w:r>
                                <w:r w:rsidR="00D12A89" w:rsidRPr="00D52AD2">
                                  <w:rPr>
                                    <w:b/>
                                    <w:bCs/>
                                    <w:color w:val="FF0000"/>
                                    <w:lang w:val="ka-GE"/>
                                  </w:rPr>
                                  <w:t xml:space="preserve"> 202</w:t>
                                </w:r>
                                <w:r>
                                  <w:rPr>
                                    <w:b/>
                                    <w:bCs/>
                                    <w:color w:val="FF0000"/>
                                    <w:lang w:val="ka-GE"/>
                                  </w:rPr>
                                  <w:t>6</w:t>
                                </w:r>
                                <w:r w:rsidR="008F5024" w:rsidRPr="00D52AD2">
                                  <w:rPr>
                                    <w:b/>
                                    <w:bCs/>
                                    <w:color w:val="FF0000"/>
                                    <w:lang w:val="ka-GE"/>
                                  </w:rPr>
                                  <w:t xml:space="preserve"> (</w:t>
                                </w:r>
                                <w:r w:rsidR="00A749F5">
                                  <w:rPr>
                                    <w:b/>
                                    <w:bCs/>
                                    <w:color w:val="FF0000"/>
                                    <w:lang w:val="ka-GE"/>
                                  </w:rPr>
                                  <w:t>1</w:t>
                                </w:r>
                                <w:r w:rsidR="00177C89">
                                  <w:rPr>
                                    <w:b/>
                                    <w:bCs/>
                                    <w:color w:val="FF0000"/>
                                    <w:lang w:val="ka-GE"/>
                                  </w:rPr>
                                  <w:t>5</w:t>
                                </w:r>
                                <w:r w:rsidR="008F5024" w:rsidRPr="00D52AD2">
                                  <w:rPr>
                                    <w:b/>
                                    <w:bCs/>
                                    <w:color w:val="FF0000"/>
                                    <w:lang w:val="ka-GE"/>
                                  </w:rPr>
                                  <w:t>:00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11"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4566A366" w14:textId="77777777" w:rsidR="00D27098" w:rsidRDefault="003F76DE" w:rsidP="003F76DE">
      <w:pPr>
        <w:jc w:val="center"/>
        <w:rPr>
          <w:rFonts w:eastAsiaTheme="majorEastAsia" w:cs="Sylfaen"/>
          <w:b/>
          <w:bCs/>
          <w:color w:val="141B3D"/>
          <w:sz w:val="32"/>
          <w:szCs w:val="29"/>
          <w:lang w:val="ka-GE" w:eastAsia="ja-JP"/>
        </w:rPr>
      </w:pPr>
      <w:r>
        <w:rPr>
          <w:rFonts w:eastAsiaTheme="majorEastAsia" w:cs="Sylfaen"/>
          <w:b/>
          <w:bCs/>
          <w:color w:val="141B3D"/>
          <w:sz w:val="32"/>
          <w:szCs w:val="29"/>
          <w:lang w:val="ka-GE" w:eastAsia="ja-JP"/>
        </w:rPr>
        <w:t>აუქციონი სალაროს</w:t>
      </w:r>
      <w:r w:rsidR="00D27098">
        <w:rPr>
          <w:rFonts w:eastAsiaTheme="majorEastAsia" w:cs="Sylfaen"/>
          <w:b/>
          <w:bCs/>
          <w:color w:val="141B3D"/>
          <w:sz w:val="32"/>
          <w:szCs w:val="29"/>
          <w:lang w:val="ka-GE" w:eastAsia="ja-JP"/>
        </w:rPr>
        <w:t>/ლომბარდის</w:t>
      </w:r>
    </w:p>
    <w:p w14:paraId="2B22F183" w14:textId="14380D65" w:rsidR="003F76DE" w:rsidRPr="00BA4C85" w:rsidRDefault="003F76DE" w:rsidP="003F76DE">
      <w:pPr>
        <w:jc w:val="center"/>
        <w:rPr>
          <w:b/>
          <w:color w:val="E36C0A" w:themeColor="accent6" w:themeShade="BF"/>
          <w:sz w:val="48"/>
          <w:szCs w:val="56"/>
          <w:lang w:val="ka-GE"/>
        </w:rPr>
      </w:pPr>
      <w:r>
        <w:rPr>
          <w:rFonts w:eastAsiaTheme="majorEastAsia" w:cs="Sylfaen"/>
          <w:b/>
          <w:bCs/>
          <w:color w:val="141B3D"/>
          <w:sz w:val="32"/>
          <w:szCs w:val="29"/>
          <w:lang w:val="ka-GE" w:eastAsia="ja-JP"/>
        </w:rPr>
        <w:t xml:space="preserve"> პოლიეთილენის პარკების შესყიდვაზე</w:t>
      </w: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5D744BFE" w:rsidR="00633247" w:rsidRPr="001C15B4" w:rsidRDefault="00633247" w:rsidP="0046033E">
          <w:pPr>
            <w:pStyle w:val="TOCHeading"/>
            <w:rPr>
              <w:rFonts w:asciiTheme="minorHAnsi" w:eastAsiaTheme="minorHAnsi" w:hAnsiTheme="minorHAnsi" w:cstheme="minorHAnsi"/>
              <w:b w:val="0"/>
              <w:bCs w:val="0"/>
              <w:color w:val="auto"/>
              <w:sz w:val="24"/>
              <w:szCs w:val="56"/>
              <w:lang w:val="ka-GE" w:eastAsia="en-US"/>
            </w:rPr>
          </w:pPr>
        </w:p>
        <w:p w14:paraId="5400A5EE" w14:textId="60205905" w:rsidR="00D600FD" w:rsidRDefault="00633247" w:rsidP="00D600FD">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p>
        <w:p w14:paraId="37EA6BA3" w14:textId="5E16E7D7" w:rsidR="00D600FD" w:rsidRDefault="00000000">
          <w:pPr>
            <w:pStyle w:val="TOC1"/>
            <w:rPr>
              <w:rFonts w:asciiTheme="minorHAnsi" w:eastAsiaTheme="minorEastAsia" w:hAnsiTheme="minorHAnsi"/>
              <w:noProof/>
              <w:color w:val="auto"/>
              <w:sz w:val="22"/>
              <w:szCs w:val="22"/>
            </w:rPr>
          </w:pPr>
          <w:hyperlink w:anchor="_Toc171454712" w:history="1">
            <w:r w:rsidR="00D600FD" w:rsidRPr="004878BB">
              <w:rPr>
                <w:rStyle w:val="Hyperlink"/>
                <w:rFonts w:eastAsiaTheme="majorEastAsia" w:cstheme="majorBidi"/>
                <w:b/>
                <w:noProof/>
                <w:lang w:val="ka-GE" w:eastAsia="ja-JP"/>
              </w:rPr>
              <w:t>ინსტრუქცია ტენდერში მონაწილეთათვის</w:t>
            </w:r>
            <w:r w:rsidR="00D600FD">
              <w:rPr>
                <w:noProof/>
                <w:webHidden/>
              </w:rPr>
              <w:tab/>
            </w:r>
            <w:r w:rsidR="00D600FD">
              <w:rPr>
                <w:noProof/>
                <w:webHidden/>
              </w:rPr>
              <w:fldChar w:fldCharType="begin"/>
            </w:r>
            <w:r w:rsidR="00D600FD">
              <w:rPr>
                <w:noProof/>
                <w:webHidden/>
              </w:rPr>
              <w:instrText xml:space="preserve"> PAGEREF _Toc171454712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37300D54" w14:textId="51A187C7" w:rsidR="00D600FD" w:rsidRDefault="00000000">
          <w:pPr>
            <w:pStyle w:val="TOC1"/>
            <w:rPr>
              <w:rFonts w:asciiTheme="minorHAnsi" w:eastAsiaTheme="minorEastAsia" w:hAnsiTheme="minorHAnsi"/>
              <w:noProof/>
              <w:color w:val="auto"/>
              <w:sz w:val="22"/>
              <w:szCs w:val="22"/>
            </w:rPr>
          </w:pPr>
          <w:hyperlink w:anchor="_Toc171454713" w:history="1">
            <w:r w:rsidR="00D600FD" w:rsidRPr="004878BB">
              <w:rPr>
                <w:rStyle w:val="Hyperlink"/>
                <w:rFonts w:eastAsiaTheme="majorEastAsia" w:cstheme="majorBidi"/>
                <w:b/>
                <w:noProof/>
                <w:lang w:val="ka-GE" w:eastAsia="ja-JP"/>
              </w:rPr>
              <w:t>სატენდერო მოთხოვნები</w:t>
            </w:r>
            <w:r w:rsidR="00D600FD">
              <w:rPr>
                <w:noProof/>
                <w:webHidden/>
              </w:rPr>
              <w:tab/>
            </w:r>
            <w:r w:rsidR="00D600FD">
              <w:rPr>
                <w:noProof/>
                <w:webHidden/>
              </w:rPr>
              <w:fldChar w:fldCharType="begin"/>
            </w:r>
            <w:r w:rsidR="00D600FD">
              <w:rPr>
                <w:noProof/>
                <w:webHidden/>
              </w:rPr>
              <w:instrText xml:space="preserve"> PAGEREF _Toc171454713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497C236F" w14:textId="606D46F6" w:rsidR="00D600FD" w:rsidRDefault="00000000">
          <w:pPr>
            <w:pStyle w:val="TOC1"/>
            <w:rPr>
              <w:rFonts w:asciiTheme="minorHAnsi" w:eastAsiaTheme="minorEastAsia" w:hAnsiTheme="minorHAnsi"/>
              <w:noProof/>
              <w:color w:val="auto"/>
              <w:sz w:val="22"/>
              <w:szCs w:val="22"/>
            </w:rPr>
          </w:pPr>
          <w:hyperlink w:anchor="_Toc171454714" w:history="1">
            <w:r w:rsidR="00D600FD" w:rsidRPr="004878BB">
              <w:rPr>
                <w:rStyle w:val="Hyperlink"/>
                <w:rFonts w:eastAsiaTheme="majorEastAsia" w:cstheme="majorBidi"/>
                <w:b/>
                <w:noProof/>
                <w:lang w:val="ka-GE" w:eastAsia="ja-JP"/>
              </w:rPr>
              <w:t>ანგარიშსწორების პირობები</w:t>
            </w:r>
            <w:r w:rsidR="00D600FD">
              <w:rPr>
                <w:noProof/>
                <w:webHidden/>
              </w:rPr>
              <w:tab/>
            </w:r>
            <w:r w:rsidR="00D600FD">
              <w:rPr>
                <w:noProof/>
                <w:webHidden/>
              </w:rPr>
              <w:fldChar w:fldCharType="begin"/>
            </w:r>
            <w:r w:rsidR="00D600FD">
              <w:rPr>
                <w:noProof/>
                <w:webHidden/>
              </w:rPr>
              <w:instrText xml:space="preserve"> PAGEREF _Toc171454714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3A6843F3" w14:textId="7D3AAC38" w:rsidR="00D600FD" w:rsidRDefault="00000000">
          <w:pPr>
            <w:pStyle w:val="TOC1"/>
            <w:rPr>
              <w:rFonts w:asciiTheme="minorHAnsi" w:eastAsiaTheme="minorEastAsia" w:hAnsiTheme="minorHAnsi"/>
              <w:noProof/>
              <w:color w:val="auto"/>
              <w:sz w:val="22"/>
              <w:szCs w:val="22"/>
            </w:rPr>
          </w:pPr>
          <w:hyperlink w:anchor="_Toc171454715" w:history="1">
            <w:r w:rsidR="00D600FD" w:rsidRPr="004878BB">
              <w:rPr>
                <w:rStyle w:val="Hyperlink"/>
                <w:rFonts w:eastAsiaTheme="majorEastAsia" w:cstheme="majorBidi"/>
                <w:b/>
                <w:noProof/>
                <w:lang w:val="ka-GE" w:eastAsia="ja-JP"/>
              </w:rPr>
              <w:t>განფასებასთან დაკავშირებული მოთხოვნები</w:t>
            </w:r>
            <w:r w:rsidR="00D600FD">
              <w:rPr>
                <w:noProof/>
                <w:webHidden/>
              </w:rPr>
              <w:tab/>
            </w:r>
            <w:r w:rsidR="00D600FD">
              <w:rPr>
                <w:noProof/>
                <w:webHidden/>
              </w:rPr>
              <w:fldChar w:fldCharType="begin"/>
            </w:r>
            <w:r w:rsidR="00D600FD">
              <w:rPr>
                <w:noProof/>
                <w:webHidden/>
              </w:rPr>
              <w:instrText xml:space="preserve"> PAGEREF _Toc171454715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4D0386F6" w14:textId="16DA8BE3" w:rsidR="00D600FD" w:rsidRDefault="00000000">
          <w:pPr>
            <w:pStyle w:val="TOC1"/>
            <w:rPr>
              <w:rFonts w:asciiTheme="minorHAnsi" w:eastAsiaTheme="minorEastAsia" w:hAnsiTheme="minorHAnsi"/>
              <w:noProof/>
              <w:color w:val="auto"/>
              <w:sz w:val="22"/>
              <w:szCs w:val="22"/>
            </w:rPr>
          </w:pPr>
          <w:hyperlink w:anchor="_Toc171454716" w:history="1">
            <w:r w:rsidR="00D600FD" w:rsidRPr="004878BB">
              <w:rPr>
                <w:rStyle w:val="Hyperlink"/>
                <w:rFonts w:eastAsiaTheme="majorEastAsia" w:cstheme="majorBidi"/>
                <w:b/>
                <w:noProof/>
                <w:lang w:val="ka-GE" w:eastAsia="ja-JP"/>
              </w:rPr>
              <w:t>დამატებითი ინფორმაცია:</w:t>
            </w:r>
            <w:r w:rsidR="00D600FD">
              <w:rPr>
                <w:noProof/>
                <w:webHidden/>
              </w:rPr>
              <w:tab/>
            </w:r>
            <w:r w:rsidR="00D600FD">
              <w:rPr>
                <w:noProof/>
                <w:webHidden/>
              </w:rPr>
              <w:fldChar w:fldCharType="begin"/>
            </w:r>
            <w:r w:rsidR="00D600FD">
              <w:rPr>
                <w:noProof/>
                <w:webHidden/>
              </w:rPr>
              <w:instrText xml:space="preserve"> PAGEREF _Toc171454716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1B5D625D" w14:textId="7D754D30" w:rsidR="00D600FD" w:rsidRDefault="00000000">
          <w:pPr>
            <w:pStyle w:val="TOC1"/>
            <w:rPr>
              <w:rFonts w:asciiTheme="minorHAnsi" w:eastAsiaTheme="minorEastAsia" w:hAnsiTheme="minorHAnsi"/>
              <w:noProof/>
              <w:color w:val="auto"/>
              <w:sz w:val="22"/>
              <w:szCs w:val="22"/>
            </w:rPr>
          </w:pPr>
          <w:hyperlink w:anchor="_Toc171454717" w:history="1">
            <w:r w:rsidR="00D600FD" w:rsidRPr="004878BB">
              <w:rPr>
                <w:rStyle w:val="Hyperlink"/>
                <w:rFonts w:cs="Sylfaen"/>
                <w:noProof/>
              </w:rPr>
              <w:t xml:space="preserve">დანართი1: საქონლის სპეციფიკაცია </w:t>
            </w:r>
            <w:r w:rsidR="00D600FD">
              <w:rPr>
                <w:noProof/>
                <w:webHidden/>
              </w:rPr>
              <w:tab/>
            </w:r>
            <w:r w:rsidR="00D600FD">
              <w:rPr>
                <w:noProof/>
                <w:webHidden/>
              </w:rPr>
              <w:fldChar w:fldCharType="begin"/>
            </w:r>
            <w:r w:rsidR="00D600FD">
              <w:rPr>
                <w:noProof/>
                <w:webHidden/>
              </w:rPr>
              <w:instrText xml:space="preserve"> PAGEREF _Toc171454717 \h </w:instrText>
            </w:r>
            <w:r w:rsidR="00D600FD">
              <w:rPr>
                <w:noProof/>
                <w:webHidden/>
              </w:rPr>
            </w:r>
            <w:r w:rsidR="00D600FD">
              <w:rPr>
                <w:noProof/>
                <w:webHidden/>
              </w:rPr>
              <w:fldChar w:fldCharType="separate"/>
            </w:r>
            <w:r w:rsidR="00D600FD">
              <w:rPr>
                <w:noProof/>
                <w:webHidden/>
              </w:rPr>
              <w:t>4</w:t>
            </w:r>
            <w:r w:rsidR="00D600FD">
              <w:rPr>
                <w:noProof/>
                <w:webHidden/>
              </w:rPr>
              <w:fldChar w:fldCharType="end"/>
            </w:r>
          </w:hyperlink>
        </w:p>
        <w:p w14:paraId="689338D7" w14:textId="35A2F526" w:rsidR="00D600FD" w:rsidRDefault="00000000">
          <w:pPr>
            <w:pStyle w:val="TOC1"/>
            <w:rPr>
              <w:rFonts w:asciiTheme="minorHAnsi" w:eastAsiaTheme="minorEastAsia" w:hAnsiTheme="minorHAnsi"/>
              <w:noProof/>
              <w:color w:val="auto"/>
              <w:sz w:val="22"/>
              <w:szCs w:val="22"/>
            </w:rPr>
          </w:pPr>
          <w:hyperlink w:anchor="_Toc171454718" w:history="1">
            <w:r w:rsidR="00D600FD" w:rsidRPr="004878BB">
              <w:rPr>
                <w:rStyle w:val="Hyperlink"/>
                <w:rFonts w:cs="Sylfaen"/>
                <w:noProof/>
              </w:rPr>
              <w:t>დანართი 2: საბანკო რეკვიზიტები</w:t>
            </w:r>
            <w:r w:rsidR="00D600FD">
              <w:rPr>
                <w:noProof/>
                <w:webHidden/>
              </w:rPr>
              <w:tab/>
            </w:r>
            <w:r w:rsidR="00D600FD">
              <w:rPr>
                <w:noProof/>
                <w:webHidden/>
              </w:rPr>
              <w:fldChar w:fldCharType="begin"/>
            </w:r>
            <w:r w:rsidR="00D600FD">
              <w:rPr>
                <w:noProof/>
                <w:webHidden/>
              </w:rPr>
              <w:instrText xml:space="preserve"> PAGEREF _Toc171454718 \h </w:instrText>
            </w:r>
            <w:r w:rsidR="00D600FD">
              <w:rPr>
                <w:noProof/>
                <w:webHidden/>
              </w:rPr>
            </w:r>
            <w:r w:rsidR="00D600FD">
              <w:rPr>
                <w:noProof/>
                <w:webHidden/>
              </w:rPr>
              <w:fldChar w:fldCharType="separate"/>
            </w:r>
            <w:r w:rsidR="00D600FD">
              <w:rPr>
                <w:noProof/>
                <w:webHidden/>
              </w:rPr>
              <w:t>5</w:t>
            </w:r>
            <w:r w:rsidR="00D600FD">
              <w:rPr>
                <w:noProof/>
                <w:webHidden/>
              </w:rPr>
              <w:fldChar w:fldCharType="end"/>
            </w:r>
          </w:hyperlink>
        </w:p>
        <w:p w14:paraId="60752384" w14:textId="2422EE85"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bookmarkStart w:id="2" w:name="_Toc534810151"/>
      <w:bookmarkStart w:id="3" w:name="_Toc171454712"/>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5296C45B" w:rsidR="00F8089D" w:rsidRDefault="00F8089D" w:rsidP="00A66B58">
      <w:pPr>
        <w:rPr>
          <w:lang w:val="ka-GE"/>
        </w:rPr>
      </w:pPr>
      <w:r w:rsidRPr="00C05FD1">
        <w:rPr>
          <w:lang w:val="ka-GE"/>
        </w:rPr>
        <w:t xml:space="preserve">სატენდერო კომისია </w:t>
      </w:r>
      <w:r w:rsidR="004E1CE0" w:rsidRPr="00C05FD1">
        <w:rPr>
          <w:lang w:val="ka-GE"/>
        </w:rPr>
        <w:t>გამარჯვებულ</w:t>
      </w:r>
      <w:r w:rsidRPr="00C05FD1">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w:t>
      </w:r>
      <w:r w:rsidR="00D27098">
        <w:rPr>
          <w:lang w:val="ka-GE"/>
        </w:rPr>
        <w:t xml:space="preserve"> </w:t>
      </w:r>
      <w:r w:rsidRPr="00C05FD1">
        <w:rPr>
          <w:lang w:val="ka-GE"/>
        </w:rPr>
        <w:t xml:space="preserve">შემოთავაზებული პროდუქციის </w:t>
      </w:r>
      <w:r w:rsidR="004E1CE0" w:rsidRPr="00C05FD1">
        <w:rPr>
          <w:lang w:val="ka-GE"/>
        </w:rPr>
        <w:t xml:space="preserve">წარმოდგენილი </w:t>
      </w:r>
      <w:r w:rsidR="00D600FD" w:rsidRPr="00C05FD1">
        <w:rPr>
          <w:lang w:val="ka-GE"/>
        </w:rPr>
        <w:t>ს</w:t>
      </w:r>
      <w:r w:rsidR="004E1CE0" w:rsidRPr="00C05FD1">
        <w:rPr>
          <w:lang w:val="ka-GE"/>
        </w:rPr>
        <w:t>პეციფიკაცია</w:t>
      </w:r>
      <w:r w:rsidR="00D27098">
        <w:rPr>
          <w:lang w:val="ka-GE"/>
        </w:rPr>
        <w:t>/ხარისხი</w:t>
      </w:r>
      <w:r w:rsidR="004E1CE0" w:rsidRPr="00C05FD1">
        <w:rPr>
          <w:lang w:val="ka-GE"/>
        </w:rPr>
        <w:t xml:space="preserve">, </w:t>
      </w:r>
      <w:r w:rsidR="004C2109">
        <w:rPr>
          <w:lang w:val="ka-GE"/>
        </w:rPr>
        <w:t>მოწოდების ვადა.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3B310A9E" w14:textId="77777777" w:rsidR="00C525A4" w:rsidRPr="00BF7F13" w:rsidRDefault="00C525A4" w:rsidP="00C525A4">
      <w:pPr>
        <w:rPr>
          <w:rFonts w:eastAsiaTheme="minorEastAsia"/>
          <w:lang w:val="ka-GE" w:eastAsia="ja-JP"/>
        </w:rPr>
      </w:pPr>
    </w:p>
    <w:p w14:paraId="63712D6E" w14:textId="7BEBFD8F"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proofErr w:type="spellStart"/>
      <w:r>
        <w:rPr>
          <w:rFonts w:eastAsiaTheme="minorEastAsia"/>
          <w:lang w:val="ka-GE" w:eastAsia="ja-JP"/>
        </w:rPr>
        <w:t>სატენდერო</w:t>
      </w:r>
      <w:proofErr w:type="spellEnd"/>
      <w:r w:rsidRPr="00BF7F13">
        <w:rPr>
          <w:rFonts w:eastAsiaTheme="minorEastAsia"/>
          <w:lang w:val="ka-GE" w:eastAsia="ja-JP"/>
        </w:rPr>
        <w:t xml:space="preserve"> დოკუმენტაციაში მოცემულ პარამეტრებს.</w:t>
      </w:r>
    </w:p>
    <w:p w14:paraId="0AAD2AAC" w14:textId="77777777" w:rsidR="008464E9" w:rsidRDefault="008464E9" w:rsidP="008464E9">
      <w:pPr>
        <w:spacing w:line="276" w:lineRule="auto"/>
        <w:rPr>
          <w:lang w:val="ka-GE"/>
        </w:rPr>
      </w:pPr>
    </w:p>
    <w:p w14:paraId="3AF05C2F" w14:textId="6FA59F9E"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06D39B2F" w14:textId="77777777" w:rsidR="00584C84" w:rsidRPr="00A66B58" w:rsidRDefault="00584C84"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171454713"/>
      <w:r w:rsidRPr="00BF7F13">
        <w:rPr>
          <w:rFonts w:eastAsiaTheme="majorEastAsia" w:cstheme="majorBidi"/>
          <w:b/>
          <w:color w:val="FF671B"/>
          <w:sz w:val="24"/>
          <w:szCs w:val="28"/>
          <w:lang w:val="ka-GE" w:eastAsia="ja-JP"/>
        </w:rPr>
        <w:t>სატენდერო მოთხოვნები</w:t>
      </w:r>
      <w:bookmarkEnd w:id="5"/>
      <w:bookmarkEnd w:id="6"/>
    </w:p>
    <w:p w14:paraId="1555671D" w14:textId="02C7DA5C" w:rsidR="00B8474F" w:rsidRDefault="00B8474F" w:rsidP="006646DD">
      <w:pPr>
        <w:pStyle w:val="ListParagraph"/>
        <w:numPr>
          <w:ilvl w:val="0"/>
          <w:numId w:val="15"/>
        </w:numPr>
        <w:spacing w:after="200" w:line="276" w:lineRule="auto"/>
        <w:rPr>
          <w:rFonts w:cs="Sylfaen"/>
          <w:lang w:val="ka-GE"/>
        </w:rPr>
      </w:pPr>
      <w:r w:rsidRPr="00AA2871">
        <w:rPr>
          <w:rFonts w:cs="Sylfaen"/>
          <w:b/>
          <w:lang w:val="ka-GE"/>
        </w:rPr>
        <w:t xml:space="preserve">მიწოდების </w:t>
      </w:r>
      <w:r w:rsidR="00B33F3A">
        <w:rPr>
          <w:rFonts w:cs="Sylfaen"/>
          <w:b/>
          <w:lang w:val="ka-GE"/>
        </w:rPr>
        <w:t>ადგილი</w:t>
      </w:r>
      <w:r w:rsidRPr="00AA2871">
        <w:rPr>
          <w:rFonts w:cs="Sylfaen"/>
          <w:b/>
          <w:lang w:val="ka-GE"/>
        </w:rPr>
        <w:t>:</w:t>
      </w:r>
      <w:r w:rsidR="003A0590">
        <w:rPr>
          <w:rFonts w:cs="Sylfaen"/>
          <w:b/>
          <w:lang w:val="ka-GE"/>
        </w:rPr>
        <w:t xml:space="preserve"> </w:t>
      </w:r>
      <w:proofErr w:type="spellStart"/>
      <w:r w:rsidR="00DC0CCF">
        <w:rPr>
          <w:rFonts w:cs="Sylfaen"/>
          <w:lang w:val="ka-GE"/>
        </w:rPr>
        <w:t>ქ.თბილისი</w:t>
      </w:r>
      <w:proofErr w:type="spellEnd"/>
      <w:r w:rsidR="00DC0CCF">
        <w:rPr>
          <w:rFonts w:cs="Sylfaen"/>
          <w:lang w:val="ka-GE"/>
        </w:rPr>
        <w:t>, ჭირნახულის #9</w:t>
      </w:r>
    </w:p>
    <w:p w14:paraId="5CDCC71D" w14:textId="3E0E7E9A" w:rsidR="00FF01DD" w:rsidRDefault="00FF01DD" w:rsidP="00FF01DD">
      <w:pPr>
        <w:pStyle w:val="ListParagraph"/>
        <w:numPr>
          <w:ilvl w:val="0"/>
          <w:numId w:val="15"/>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sidR="008F5024">
        <w:rPr>
          <w:rFonts w:cs="Sylfaen"/>
          <w:lang w:val="ka-GE"/>
        </w:rPr>
        <w:t>ლარში,</w:t>
      </w:r>
      <w:r>
        <w:rPr>
          <w:rFonts w:cs="Sylfaen"/>
          <w:lang w:val="ka-GE"/>
        </w:rPr>
        <w:t xml:space="preserve"> </w:t>
      </w:r>
      <w:r w:rsidRPr="00236691">
        <w:rPr>
          <w:rFonts w:cs="Sylfaen"/>
          <w:lang w:val="ka-GE"/>
        </w:rPr>
        <w:t>გადასახადების ჩათვლით;</w:t>
      </w:r>
    </w:p>
    <w:p w14:paraId="1FE03659" w14:textId="0F257097" w:rsidR="00FF01DD" w:rsidRDefault="00FF01DD" w:rsidP="00050880">
      <w:pPr>
        <w:pStyle w:val="ListParagraph"/>
        <w:numPr>
          <w:ilvl w:val="0"/>
          <w:numId w:val="15"/>
        </w:numPr>
        <w:rPr>
          <w:rFonts w:cs="Sylfaen"/>
          <w:lang w:val="ka-GE"/>
        </w:rPr>
      </w:pPr>
      <w:r w:rsidRPr="00050880">
        <w:rPr>
          <w:rFonts w:cs="Sylfaen"/>
          <w:b/>
          <w:lang w:val="ka-GE"/>
        </w:rPr>
        <w:t>რაოდენობა</w:t>
      </w:r>
      <w:r w:rsidRPr="00050880">
        <w:rPr>
          <w:rFonts w:cs="Sylfaen"/>
          <w:lang w:val="ka-GE"/>
        </w:rPr>
        <w:t xml:space="preserve">: </w:t>
      </w:r>
    </w:p>
    <w:p w14:paraId="4EE07284" w14:textId="77777777" w:rsidR="00BA4C85" w:rsidRDefault="00BA4C85" w:rsidP="00BA4C85">
      <w:pPr>
        <w:rPr>
          <w:rFonts w:cs="Sylfaen"/>
          <w:lang w:val="ka-GE"/>
        </w:rPr>
      </w:pPr>
    </w:p>
    <w:tbl>
      <w:tblPr>
        <w:tblStyle w:val="TableGrid"/>
        <w:tblpPr w:leftFromText="180" w:rightFromText="180" w:vertAnchor="text" w:horzAnchor="margin" w:tblpXSpec="center" w:tblpY="-7"/>
        <w:tblW w:w="8730" w:type="dxa"/>
        <w:tblLook w:val="04A0" w:firstRow="1" w:lastRow="0" w:firstColumn="1" w:lastColumn="0" w:noHBand="0" w:noVBand="1"/>
      </w:tblPr>
      <w:tblGrid>
        <w:gridCol w:w="2155"/>
        <w:gridCol w:w="1620"/>
        <w:gridCol w:w="1800"/>
        <w:gridCol w:w="1445"/>
        <w:gridCol w:w="1710"/>
      </w:tblGrid>
      <w:tr w:rsidR="00282E0E" w:rsidRPr="00BA4C85" w14:paraId="530762E8" w14:textId="77777777" w:rsidTr="00650129">
        <w:tc>
          <w:tcPr>
            <w:tcW w:w="2155" w:type="dxa"/>
          </w:tcPr>
          <w:p w14:paraId="16A918F4" w14:textId="77777777" w:rsidR="00282E0E" w:rsidRPr="00BA4C85" w:rsidRDefault="00282E0E" w:rsidP="00A77D5A">
            <w:pP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საქონლის</w:t>
            </w:r>
          </w:p>
          <w:p w14:paraId="702F1417" w14:textId="77777777" w:rsidR="00282E0E" w:rsidRPr="00BA4C85" w:rsidRDefault="00282E0E" w:rsidP="00A77D5A">
            <w:pP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დასახელება</w:t>
            </w:r>
          </w:p>
        </w:tc>
        <w:tc>
          <w:tcPr>
            <w:tcW w:w="1620" w:type="dxa"/>
          </w:tcPr>
          <w:p w14:paraId="5922B32F"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 xml:space="preserve">1 თვის შესასყიდი </w:t>
            </w:r>
          </w:p>
          <w:p w14:paraId="23410398"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რ-ბა (ცალი)</w:t>
            </w:r>
          </w:p>
        </w:tc>
        <w:tc>
          <w:tcPr>
            <w:tcW w:w="1800" w:type="dxa"/>
          </w:tcPr>
          <w:p w14:paraId="103398D1"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1 წლის შესასყიდი</w:t>
            </w:r>
          </w:p>
          <w:p w14:paraId="267A3F0D"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რ</w:t>
            </w:r>
            <w:r>
              <w:rPr>
                <w:rFonts w:eastAsiaTheme="majorEastAsia" w:cs="Sylfaen"/>
                <w:b/>
                <w:color w:val="auto"/>
                <w:sz w:val="16"/>
                <w:szCs w:val="28"/>
                <w:lang w:val="ka-GE" w:eastAsia="ja-JP"/>
              </w:rPr>
              <w:t>-ბ</w:t>
            </w:r>
            <w:r w:rsidRPr="00BA4C85">
              <w:rPr>
                <w:rFonts w:eastAsiaTheme="majorEastAsia" w:cs="Sylfaen"/>
                <w:b/>
                <w:color w:val="auto"/>
                <w:sz w:val="16"/>
                <w:szCs w:val="28"/>
                <w:lang w:val="ka-GE" w:eastAsia="ja-JP"/>
              </w:rPr>
              <w:t>ა (ცალი)</w:t>
            </w:r>
          </w:p>
        </w:tc>
        <w:tc>
          <w:tcPr>
            <w:tcW w:w="1445" w:type="dxa"/>
          </w:tcPr>
          <w:p w14:paraId="3AD1A73F"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ერთეულის ფასი (ლარი)</w:t>
            </w:r>
          </w:p>
        </w:tc>
        <w:tc>
          <w:tcPr>
            <w:tcW w:w="1710" w:type="dxa"/>
          </w:tcPr>
          <w:p w14:paraId="1809E758"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ჯამური ფასი</w:t>
            </w:r>
          </w:p>
          <w:p w14:paraId="4EFCCB12"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(ლარი)</w:t>
            </w:r>
          </w:p>
        </w:tc>
      </w:tr>
      <w:tr w:rsidR="00282E0E" w:rsidRPr="005A11CD" w14:paraId="21A0E538" w14:textId="77777777" w:rsidTr="00650129">
        <w:tc>
          <w:tcPr>
            <w:tcW w:w="2155" w:type="dxa"/>
          </w:tcPr>
          <w:p w14:paraId="5D6A314D" w14:textId="40752011" w:rsidR="00282E0E" w:rsidRPr="00E80BE8" w:rsidRDefault="00282E0E" w:rsidP="00282E0E">
            <w:pPr>
              <w:rPr>
                <w:rFonts w:eastAsia="Times New Roman"/>
                <w:color w:val="333333"/>
                <w:sz w:val="16"/>
                <w:szCs w:val="16"/>
              </w:rPr>
            </w:pPr>
            <w:r>
              <w:rPr>
                <w:color w:val="000000" w:themeColor="text1"/>
                <w:sz w:val="18"/>
                <w:lang w:val="ka-GE"/>
              </w:rPr>
              <w:t xml:space="preserve">სალაროს პოლიეთილენის პარკი </w:t>
            </w:r>
          </w:p>
        </w:tc>
        <w:tc>
          <w:tcPr>
            <w:tcW w:w="1620" w:type="dxa"/>
          </w:tcPr>
          <w:p w14:paraId="4DF23AB4" w14:textId="27031CF3" w:rsidR="00282E0E" w:rsidRPr="002A1D69" w:rsidRDefault="00282E0E" w:rsidP="00282E0E">
            <w:pPr>
              <w:jc w:val="center"/>
              <w:rPr>
                <w:rFonts w:eastAsia="Times New Roman"/>
                <w:color w:val="333333"/>
                <w:sz w:val="16"/>
                <w:szCs w:val="16"/>
                <w:lang w:val="ka-GE"/>
              </w:rPr>
            </w:pPr>
            <w:r>
              <w:rPr>
                <w:rFonts w:eastAsia="Times New Roman"/>
                <w:color w:val="333333"/>
                <w:sz w:val="16"/>
                <w:szCs w:val="16"/>
                <w:lang w:val="ka-GE"/>
              </w:rPr>
              <w:t>125,000 (ას ოცდახუთი ათასი)</w:t>
            </w:r>
          </w:p>
        </w:tc>
        <w:tc>
          <w:tcPr>
            <w:tcW w:w="1800" w:type="dxa"/>
          </w:tcPr>
          <w:p w14:paraId="60C2DC29" w14:textId="198E6A37" w:rsidR="00282E0E" w:rsidRPr="002A1D69" w:rsidRDefault="00282E0E" w:rsidP="00282E0E">
            <w:pPr>
              <w:jc w:val="center"/>
              <w:rPr>
                <w:rFonts w:eastAsia="Times New Roman"/>
                <w:color w:val="333333"/>
                <w:sz w:val="16"/>
                <w:szCs w:val="16"/>
                <w:lang w:val="ka-GE"/>
              </w:rPr>
            </w:pPr>
            <w:r w:rsidRPr="003F76DE">
              <w:rPr>
                <w:rFonts w:eastAsia="Times New Roman"/>
                <w:color w:val="333333"/>
                <w:sz w:val="16"/>
                <w:szCs w:val="16"/>
                <w:lang w:val="ka-GE"/>
              </w:rPr>
              <w:t xml:space="preserve">1,500,000 (ერთი მილიონ ხუთასი ათასი) </w:t>
            </w:r>
          </w:p>
        </w:tc>
        <w:tc>
          <w:tcPr>
            <w:tcW w:w="1445" w:type="dxa"/>
          </w:tcPr>
          <w:p w14:paraId="2E8509C1" w14:textId="77777777" w:rsidR="00282E0E" w:rsidRPr="005A11CD" w:rsidRDefault="00282E0E" w:rsidP="00282E0E">
            <w:pPr>
              <w:jc w:val="center"/>
              <w:rPr>
                <w:rFonts w:eastAsia="Times New Roman"/>
                <w:color w:val="333333"/>
                <w:sz w:val="16"/>
                <w:szCs w:val="16"/>
                <w:lang w:val="ka-GE"/>
              </w:rPr>
            </w:pPr>
          </w:p>
        </w:tc>
        <w:tc>
          <w:tcPr>
            <w:tcW w:w="1710" w:type="dxa"/>
          </w:tcPr>
          <w:p w14:paraId="40D40A6E" w14:textId="77777777" w:rsidR="00282E0E" w:rsidRPr="005A11CD" w:rsidRDefault="00282E0E" w:rsidP="00282E0E">
            <w:pPr>
              <w:jc w:val="center"/>
              <w:rPr>
                <w:rFonts w:eastAsia="Times New Roman"/>
                <w:color w:val="333333"/>
                <w:sz w:val="16"/>
                <w:szCs w:val="16"/>
                <w:lang w:val="ka-GE"/>
              </w:rPr>
            </w:pPr>
          </w:p>
        </w:tc>
      </w:tr>
      <w:tr w:rsidR="00282E0E" w:rsidRPr="005A11CD" w14:paraId="1B48A4F6" w14:textId="77777777" w:rsidTr="00650129">
        <w:tc>
          <w:tcPr>
            <w:tcW w:w="2155" w:type="dxa"/>
          </w:tcPr>
          <w:p w14:paraId="34866538" w14:textId="685BFF92" w:rsidR="00282E0E" w:rsidRPr="00E80BE8" w:rsidRDefault="00282E0E" w:rsidP="00282E0E">
            <w:pPr>
              <w:rPr>
                <w:rFonts w:eastAsia="Times New Roman"/>
                <w:color w:val="333333"/>
                <w:sz w:val="16"/>
                <w:szCs w:val="16"/>
              </w:rPr>
            </w:pPr>
            <w:r>
              <w:rPr>
                <w:color w:val="000000" w:themeColor="text1"/>
                <w:sz w:val="18"/>
                <w:lang w:val="ka-GE"/>
              </w:rPr>
              <w:t xml:space="preserve">ლომბარდის პოლიეთილენის პარკი </w:t>
            </w:r>
          </w:p>
        </w:tc>
        <w:tc>
          <w:tcPr>
            <w:tcW w:w="1620" w:type="dxa"/>
          </w:tcPr>
          <w:p w14:paraId="22E5E0F3" w14:textId="5BE5FAE5" w:rsidR="00282E0E" w:rsidRPr="002A1D69" w:rsidRDefault="00282E0E" w:rsidP="00282E0E">
            <w:pPr>
              <w:jc w:val="center"/>
              <w:rPr>
                <w:rFonts w:eastAsia="Times New Roman"/>
                <w:color w:val="333333"/>
                <w:sz w:val="16"/>
                <w:szCs w:val="16"/>
                <w:lang w:val="ka-GE"/>
              </w:rPr>
            </w:pPr>
            <w:r>
              <w:rPr>
                <w:rFonts w:eastAsia="Times New Roman"/>
                <w:color w:val="333333"/>
                <w:sz w:val="16"/>
                <w:szCs w:val="16"/>
                <w:lang w:val="ka-GE"/>
              </w:rPr>
              <w:t>40,000 (ორმოცი ათასი)</w:t>
            </w:r>
          </w:p>
        </w:tc>
        <w:tc>
          <w:tcPr>
            <w:tcW w:w="1800" w:type="dxa"/>
          </w:tcPr>
          <w:p w14:paraId="67F38851" w14:textId="73CFA0E7" w:rsidR="00282E0E" w:rsidRPr="002A1D69" w:rsidRDefault="00282E0E" w:rsidP="00282E0E">
            <w:pPr>
              <w:jc w:val="center"/>
              <w:rPr>
                <w:rFonts w:eastAsia="Times New Roman"/>
                <w:color w:val="333333"/>
                <w:sz w:val="16"/>
                <w:szCs w:val="16"/>
                <w:lang w:val="ka-GE"/>
              </w:rPr>
            </w:pPr>
            <w:r>
              <w:rPr>
                <w:rFonts w:eastAsia="Times New Roman"/>
                <w:color w:val="333333"/>
                <w:sz w:val="16"/>
                <w:szCs w:val="16"/>
                <w:lang w:val="ka-GE"/>
              </w:rPr>
              <w:t>480,000</w:t>
            </w:r>
            <w:r w:rsidRPr="003F76DE">
              <w:rPr>
                <w:rFonts w:eastAsia="Times New Roman"/>
                <w:color w:val="333333"/>
                <w:sz w:val="16"/>
                <w:szCs w:val="16"/>
                <w:lang w:val="ka-GE"/>
              </w:rPr>
              <w:t xml:space="preserve"> (</w:t>
            </w:r>
            <w:r>
              <w:rPr>
                <w:rFonts w:eastAsia="Times New Roman"/>
                <w:color w:val="333333"/>
                <w:sz w:val="16"/>
                <w:szCs w:val="16"/>
                <w:lang w:val="ka-GE"/>
              </w:rPr>
              <w:t>ოთხას ოთხმოცი ათასი</w:t>
            </w:r>
            <w:r w:rsidRPr="003F76DE">
              <w:rPr>
                <w:rFonts w:eastAsia="Times New Roman"/>
                <w:color w:val="333333"/>
                <w:sz w:val="16"/>
                <w:szCs w:val="16"/>
                <w:lang w:val="ka-GE"/>
              </w:rPr>
              <w:t xml:space="preserve">) </w:t>
            </w:r>
          </w:p>
        </w:tc>
        <w:tc>
          <w:tcPr>
            <w:tcW w:w="1445" w:type="dxa"/>
          </w:tcPr>
          <w:p w14:paraId="04C1748E" w14:textId="77777777" w:rsidR="00282E0E" w:rsidRPr="005A11CD" w:rsidRDefault="00282E0E" w:rsidP="00282E0E">
            <w:pPr>
              <w:jc w:val="center"/>
              <w:rPr>
                <w:rFonts w:eastAsia="Times New Roman"/>
                <w:color w:val="333333"/>
                <w:sz w:val="16"/>
                <w:szCs w:val="16"/>
                <w:lang w:val="ka-GE"/>
              </w:rPr>
            </w:pPr>
          </w:p>
        </w:tc>
        <w:tc>
          <w:tcPr>
            <w:tcW w:w="1710" w:type="dxa"/>
          </w:tcPr>
          <w:p w14:paraId="0CA118FF" w14:textId="77777777" w:rsidR="00282E0E" w:rsidRPr="005A11CD" w:rsidRDefault="00282E0E" w:rsidP="00282E0E">
            <w:pPr>
              <w:jc w:val="center"/>
              <w:rPr>
                <w:rFonts w:eastAsia="Times New Roman"/>
                <w:color w:val="333333"/>
                <w:sz w:val="16"/>
                <w:szCs w:val="16"/>
                <w:lang w:val="ka-GE"/>
              </w:rPr>
            </w:pPr>
          </w:p>
        </w:tc>
      </w:tr>
      <w:tr w:rsidR="00282E0E" w:rsidRPr="00BA4C85" w14:paraId="25DA4B66" w14:textId="77777777" w:rsidTr="00650129">
        <w:tc>
          <w:tcPr>
            <w:tcW w:w="5575" w:type="dxa"/>
            <w:gridSpan w:val="3"/>
          </w:tcPr>
          <w:p w14:paraId="4CED3F4B" w14:textId="77777777" w:rsidR="00282E0E" w:rsidRDefault="00282E0E" w:rsidP="00A77D5A">
            <w:pPr>
              <w:jc w:val="center"/>
              <w:rPr>
                <w:rFonts w:eastAsia="Times New Roman"/>
                <w:color w:val="333333"/>
                <w:sz w:val="16"/>
                <w:szCs w:val="16"/>
                <w:lang w:val="ka-GE"/>
              </w:rPr>
            </w:pPr>
          </w:p>
        </w:tc>
        <w:tc>
          <w:tcPr>
            <w:tcW w:w="1445" w:type="dxa"/>
            <w:shd w:val="clear" w:color="auto" w:fill="auto"/>
          </w:tcPr>
          <w:p w14:paraId="44A1F67D" w14:textId="77777777" w:rsidR="00282E0E" w:rsidRPr="00BA4C85" w:rsidRDefault="00282E0E" w:rsidP="00A77D5A">
            <w:pPr>
              <w:jc w:val="center"/>
              <w:rPr>
                <w:rFonts w:eastAsia="Times New Roman"/>
                <w:b/>
                <w:color w:val="auto"/>
                <w:sz w:val="16"/>
                <w:szCs w:val="16"/>
                <w:lang w:val="ka-GE"/>
              </w:rPr>
            </w:pPr>
            <w:r w:rsidRPr="00BA4C85">
              <w:rPr>
                <w:rFonts w:eastAsia="Times New Roman"/>
                <w:b/>
                <w:color w:val="auto"/>
                <w:sz w:val="16"/>
                <w:szCs w:val="16"/>
                <w:lang w:val="ka-GE"/>
              </w:rPr>
              <w:t>მთლიანი თანხა</w:t>
            </w:r>
          </w:p>
        </w:tc>
        <w:tc>
          <w:tcPr>
            <w:tcW w:w="1710" w:type="dxa"/>
            <w:shd w:val="clear" w:color="auto" w:fill="auto"/>
          </w:tcPr>
          <w:p w14:paraId="1479F5E0" w14:textId="77777777" w:rsidR="00282E0E" w:rsidRPr="00BA4C85" w:rsidRDefault="00282E0E" w:rsidP="00A77D5A">
            <w:pPr>
              <w:jc w:val="center"/>
              <w:rPr>
                <w:rFonts w:eastAsia="Times New Roman"/>
                <w:b/>
                <w:color w:val="auto"/>
                <w:sz w:val="16"/>
                <w:szCs w:val="16"/>
                <w:lang w:val="ka-GE"/>
              </w:rPr>
            </w:pPr>
            <w:r w:rsidRPr="00BA4C85">
              <w:rPr>
                <w:rFonts w:eastAsia="Times New Roman"/>
                <w:b/>
                <w:color w:val="auto"/>
                <w:sz w:val="16"/>
                <w:szCs w:val="16"/>
                <w:lang w:val="ka-GE"/>
              </w:rPr>
              <w:t>-</w:t>
            </w:r>
          </w:p>
        </w:tc>
      </w:tr>
    </w:tbl>
    <w:p w14:paraId="5FA9DF67" w14:textId="77777777" w:rsidR="003F76DE" w:rsidRDefault="003F76DE" w:rsidP="00BA4C85">
      <w:pPr>
        <w:pStyle w:val="ListParagraph"/>
        <w:spacing w:after="200" w:line="276" w:lineRule="auto"/>
        <w:rPr>
          <w:rFonts w:cs="Sylfaen"/>
          <w:b/>
          <w:lang w:val="ka-GE"/>
        </w:rPr>
      </w:pPr>
    </w:p>
    <w:p w14:paraId="3AEABFC9" w14:textId="77777777" w:rsidR="00282E0E" w:rsidRDefault="00282E0E" w:rsidP="00BA4C85">
      <w:pPr>
        <w:pStyle w:val="ListParagraph"/>
        <w:spacing w:after="200" w:line="276" w:lineRule="auto"/>
        <w:rPr>
          <w:rFonts w:cs="Sylfaen"/>
          <w:b/>
          <w:lang w:val="ka-GE"/>
        </w:rPr>
      </w:pPr>
    </w:p>
    <w:p w14:paraId="6E2BEA3C" w14:textId="77777777" w:rsidR="00282E0E" w:rsidRDefault="00282E0E" w:rsidP="00BA4C85">
      <w:pPr>
        <w:pStyle w:val="ListParagraph"/>
        <w:spacing w:after="200" w:line="276" w:lineRule="auto"/>
        <w:rPr>
          <w:rFonts w:cs="Sylfaen"/>
          <w:b/>
          <w:lang w:val="ka-GE"/>
        </w:rPr>
      </w:pPr>
    </w:p>
    <w:p w14:paraId="3859AD68" w14:textId="77777777" w:rsidR="00282E0E" w:rsidRDefault="00282E0E" w:rsidP="00BA4C85">
      <w:pPr>
        <w:pStyle w:val="ListParagraph"/>
        <w:spacing w:after="200" w:line="276" w:lineRule="auto"/>
        <w:rPr>
          <w:rFonts w:cs="Sylfaen"/>
          <w:b/>
          <w:lang w:val="ka-GE"/>
        </w:rPr>
      </w:pPr>
    </w:p>
    <w:p w14:paraId="2FE1924B" w14:textId="77777777" w:rsidR="00282E0E" w:rsidRDefault="00282E0E" w:rsidP="00BA4C85">
      <w:pPr>
        <w:pStyle w:val="ListParagraph"/>
        <w:spacing w:after="200" w:line="276" w:lineRule="auto"/>
        <w:rPr>
          <w:rFonts w:cs="Sylfaen"/>
          <w:b/>
          <w:lang w:val="ka-GE"/>
        </w:rPr>
      </w:pPr>
    </w:p>
    <w:p w14:paraId="12D894EC" w14:textId="77777777" w:rsidR="00282E0E" w:rsidRDefault="00282E0E" w:rsidP="00BA4C85">
      <w:pPr>
        <w:pStyle w:val="ListParagraph"/>
        <w:spacing w:after="200" w:line="276" w:lineRule="auto"/>
        <w:rPr>
          <w:rFonts w:cs="Sylfaen"/>
          <w:b/>
          <w:lang w:val="ka-GE"/>
        </w:rPr>
      </w:pPr>
    </w:p>
    <w:p w14:paraId="3A3657BD" w14:textId="77777777" w:rsidR="00282E0E" w:rsidRDefault="00282E0E" w:rsidP="00BA4C85">
      <w:pPr>
        <w:pStyle w:val="ListParagraph"/>
        <w:spacing w:after="200" w:line="276" w:lineRule="auto"/>
        <w:rPr>
          <w:rFonts w:cs="Sylfaen"/>
          <w:b/>
          <w:lang w:val="ka-GE"/>
        </w:rPr>
      </w:pPr>
    </w:p>
    <w:p w14:paraId="526E0091" w14:textId="198B7CC7" w:rsidR="00282E0E" w:rsidRPr="00B62ED8" w:rsidRDefault="00B62ED8" w:rsidP="00B62ED8">
      <w:pPr>
        <w:pStyle w:val="ListParagraph"/>
        <w:numPr>
          <w:ilvl w:val="0"/>
          <w:numId w:val="15"/>
        </w:numPr>
        <w:spacing w:after="200" w:line="276" w:lineRule="auto"/>
        <w:rPr>
          <w:rFonts w:cs="Sylfaen"/>
          <w:b/>
          <w:lang w:val="ka-GE"/>
        </w:rPr>
      </w:pPr>
      <w:r>
        <w:rPr>
          <w:lang w:val="ka-GE"/>
        </w:rPr>
        <w:t xml:space="preserve">წარმოდგენილი რაოდენობა არის საორიენტაციო, </w:t>
      </w:r>
      <w:r>
        <w:rPr>
          <w:lang w:val="ka-GE"/>
        </w:rPr>
        <w:t xml:space="preserve">ბანკი არ იღებს ვალდებულებას მოთხოვნილი რაოდენობის სრულად შესყიდვაზე. </w:t>
      </w:r>
    </w:p>
    <w:p w14:paraId="679DBB53" w14:textId="1C8D849E" w:rsidR="00BA4C85" w:rsidRPr="00BA4C85" w:rsidRDefault="00BA4C85" w:rsidP="00BA4C85">
      <w:pPr>
        <w:pStyle w:val="ListParagraph"/>
        <w:numPr>
          <w:ilvl w:val="0"/>
          <w:numId w:val="15"/>
        </w:numPr>
        <w:rPr>
          <w:rFonts w:eastAsiaTheme="minorEastAsia" w:cs="Sylfaen"/>
          <w:lang w:val="ka-GE" w:eastAsia="ja-JP"/>
        </w:rPr>
      </w:pPr>
      <w:r w:rsidRPr="00BA4C85">
        <w:rPr>
          <w:rFonts w:eastAsiaTheme="minorEastAsia" w:cs="Sylfaen"/>
          <w:lang w:val="ka-GE" w:eastAsia="ja-JP"/>
        </w:rPr>
        <w:t xml:space="preserve">ტენდერი </w:t>
      </w:r>
      <w:r w:rsidRPr="003407F8">
        <w:rPr>
          <w:rFonts w:eastAsiaTheme="minorEastAsia" w:cs="Sylfaen"/>
          <w:lang w:val="ka-GE" w:eastAsia="ja-JP"/>
        </w:rPr>
        <w:t>ჩატარდება 3 ეტაპიანი ვაჭრობის პრინციპით,</w:t>
      </w:r>
      <w:r w:rsidRPr="00BA4C85">
        <w:rPr>
          <w:rFonts w:eastAsiaTheme="minorEastAsia" w:cs="Sylfaen"/>
          <w:lang w:val="ka-GE" w:eastAsia="ja-JP"/>
        </w:rPr>
        <w:t xml:space="preserve"> ვაჭრობა გაიმართება </w:t>
      </w:r>
      <w:r w:rsidRPr="003407F8">
        <w:rPr>
          <w:rFonts w:eastAsiaTheme="minorEastAsia" w:cs="Sylfaen"/>
          <w:b/>
          <w:bCs/>
          <w:u w:val="single"/>
          <w:lang w:val="ka-GE" w:eastAsia="ja-JP"/>
        </w:rPr>
        <w:t>ჯამური ფასის</w:t>
      </w:r>
      <w:r w:rsidRPr="00BA4C85">
        <w:rPr>
          <w:rFonts w:eastAsiaTheme="minorEastAsia" w:cs="Sylfaen"/>
          <w:lang w:val="ka-GE" w:eastAsia="ja-JP"/>
        </w:rPr>
        <w:t xml:space="preserve"> მიხედვით, ბიჯი </w:t>
      </w:r>
      <w:r w:rsidR="00FE625F">
        <w:rPr>
          <w:rFonts w:eastAsiaTheme="minorEastAsia" w:cs="Sylfaen"/>
          <w:lang w:val="ka-GE" w:eastAsia="ja-JP"/>
        </w:rPr>
        <w:t>3000</w:t>
      </w:r>
      <w:r w:rsidRPr="00BA4C85">
        <w:rPr>
          <w:rFonts w:eastAsiaTheme="minorEastAsia" w:cs="Sylfaen"/>
          <w:lang w:val="ka-GE" w:eastAsia="ja-JP"/>
        </w:rPr>
        <w:t xml:space="preserve"> ლარი.</w:t>
      </w:r>
    </w:p>
    <w:p w14:paraId="4777BAE8" w14:textId="77777777" w:rsidR="00BA4C85" w:rsidRDefault="00BA4C85" w:rsidP="00BA4C85">
      <w:pPr>
        <w:pStyle w:val="ListParagraph"/>
        <w:numPr>
          <w:ilvl w:val="0"/>
          <w:numId w:val="15"/>
        </w:numPr>
        <w:rPr>
          <w:rFonts w:eastAsiaTheme="minorEastAsia" w:cs="Sylfaen"/>
          <w:lang w:val="ka-GE" w:eastAsia="ja-JP"/>
        </w:rPr>
      </w:pPr>
      <w:r w:rsidRPr="00BA4C85">
        <w:rPr>
          <w:rFonts w:eastAsiaTheme="minorEastAsia" w:cs="Sylfaen"/>
          <w:lang w:val="ka-GE" w:eastAsia="ja-JP"/>
        </w:rPr>
        <w:t>ვაჭრობის დასრულების შემდეგ, საბოლოოდ დაფიქსირებული ჯამური ფასის შესაბამისად პროპორციულად დააკლდება საქონლის ერთეულის ფასს.</w:t>
      </w:r>
    </w:p>
    <w:p w14:paraId="674A05EA" w14:textId="22061186" w:rsidR="006725DD" w:rsidRPr="00BA4C85" w:rsidRDefault="006725DD" w:rsidP="00BA4C85">
      <w:pPr>
        <w:pStyle w:val="ListParagraph"/>
        <w:numPr>
          <w:ilvl w:val="0"/>
          <w:numId w:val="15"/>
        </w:numPr>
        <w:rPr>
          <w:rFonts w:eastAsiaTheme="minorEastAsia" w:cs="Sylfaen"/>
          <w:lang w:val="ka-GE" w:eastAsia="ja-JP"/>
        </w:rPr>
      </w:pPr>
      <w:r>
        <w:rPr>
          <w:rFonts w:eastAsiaTheme="minorEastAsia" w:cs="Sylfaen"/>
          <w:lang w:val="ka-GE" w:eastAsia="ja-JP"/>
        </w:rPr>
        <w:t>ტენდერის დასრულების შემდგომ, პრეტენდენტმა უნდა წარმოადგინოს საქონლის ნიმუშები.</w:t>
      </w:r>
    </w:p>
    <w:p w14:paraId="22C05B65" w14:textId="7C758B55" w:rsidR="00B8474F" w:rsidRPr="00C05FD1" w:rsidRDefault="00B8474F" w:rsidP="006646DD">
      <w:pPr>
        <w:pStyle w:val="ListParagraph"/>
        <w:numPr>
          <w:ilvl w:val="0"/>
          <w:numId w:val="15"/>
        </w:numPr>
        <w:spacing w:after="200" w:line="276" w:lineRule="auto"/>
        <w:rPr>
          <w:rFonts w:cs="Sylfaen"/>
          <w:b/>
          <w:lang w:val="ka-GE"/>
        </w:rPr>
      </w:pPr>
      <w:r w:rsidRPr="00176641">
        <w:rPr>
          <w:rFonts w:cs="Sylfaen"/>
          <w:bCs/>
          <w:lang w:val="ka-GE"/>
        </w:rPr>
        <w:t>სარეკომენდაციო წერილი:</w:t>
      </w:r>
      <w:r w:rsidRPr="00C05FD1">
        <w:rPr>
          <w:rFonts w:cs="Sylfaen"/>
          <w:lang w:val="ka-GE"/>
        </w:rPr>
        <w:t xml:space="preserve"> პრეტენდენტმა უნდა წარმოადგინოს საქართველოს რეზიდენტი ორგანიზაციის მიერ გაცემული</w:t>
      </w:r>
      <w:r w:rsidR="00C2722A" w:rsidRPr="00C05FD1">
        <w:rPr>
          <w:rFonts w:cs="Sylfaen"/>
          <w:lang w:val="ka-GE"/>
        </w:rPr>
        <w:t>,</w:t>
      </w:r>
      <w:r w:rsidRPr="00C05FD1">
        <w:rPr>
          <w:rFonts w:cs="Sylfaen"/>
          <w:lang w:val="ka-GE"/>
        </w:rPr>
        <w:t xml:space="preserve"> სულ მცირე 1 სარეკომენდაციო წერილი.</w:t>
      </w:r>
    </w:p>
    <w:p w14:paraId="64173CF8" w14:textId="3BB10BFF" w:rsidR="00B97639" w:rsidRPr="00AD3B3D" w:rsidRDefault="00B97639" w:rsidP="006646DD">
      <w:pPr>
        <w:pStyle w:val="ListParagraph"/>
        <w:numPr>
          <w:ilvl w:val="0"/>
          <w:numId w:val="15"/>
        </w:numPr>
        <w:spacing w:after="200" w:line="276" w:lineRule="auto"/>
        <w:rPr>
          <w:rFonts w:cs="Sylfaen"/>
          <w:lang w:val="ka-GE"/>
        </w:rPr>
      </w:pPr>
      <w:r w:rsidRPr="00AD3B3D">
        <w:rPr>
          <w:rFonts w:cs="Sylfaen"/>
          <w:lang w:val="ka-GE"/>
        </w:rPr>
        <w:lastRenderedPageBreak/>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75B29E19" w14:textId="006FC2E4" w:rsidR="00764122" w:rsidRPr="006646DD" w:rsidRDefault="00764122" w:rsidP="006646DD">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და არ უნდა იყოს რეგისტრირებული მოვალთა რეესტრში.</w:t>
      </w:r>
    </w:p>
    <w:p w14:paraId="5A945887" w14:textId="1FDFA9A5" w:rsidR="006646DD" w:rsidRPr="006646DD" w:rsidRDefault="006646DD" w:rsidP="006646DD">
      <w:pPr>
        <w:pStyle w:val="ListParagraph"/>
        <w:numPr>
          <w:ilvl w:val="0"/>
          <w:numId w:val="15"/>
        </w:numPr>
        <w:spacing w:after="200" w:line="276" w:lineRule="auto"/>
        <w:rPr>
          <w:rFonts w:cs="Sylfaen"/>
          <w:b/>
          <w:lang w:val="ka-GE"/>
        </w:rPr>
      </w:pPr>
      <w:r>
        <w:rPr>
          <w:lang w:val="ka-GE"/>
        </w:rPr>
        <w:t xml:space="preserve">ბანკი არ იღებს ვალდებულებას მოთხოვნილი რაოდენობის სრულად შესყიდვაზე. </w:t>
      </w:r>
    </w:p>
    <w:p w14:paraId="5CB68DDC" w14:textId="1F3D504C" w:rsidR="00B80B03" w:rsidRPr="00176641" w:rsidRDefault="006646DD" w:rsidP="00176641">
      <w:pPr>
        <w:pStyle w:val="ListParagraph"/>
        <w:numPr>
          <w:ilvl w:val="0"/>
          <w:numId w:val="15"/>
        </w:numPr>
        <w:spacing w:after="200" w:line="276" w:lineRule="auto"/>
        <w:rPr>
          <w:rFonts w:cs="Sylfaen"/>
          <w:b/>
          <w:lang w:val="ka-GE"/>
        </w:rPr>
      </w:pPr>
      <w:r w:rsidRPr="00584C84">
        <w:rPr>
          <w:lang w:val="ka-GE"/>
        </w:rPr>
        <w:t>დამატებითი რაოდენობის შესყიდვის შემთხვევაში შემოთავაზებული ფასი უნდა შენარჩუნდეს 1 (ერთი) წლის განმავლობაში.</w:t>
      </w:r>
    </w:p>
    <w:p w14:paraId="166B086B" w14:textId="4E792483" w:rsidR="00B0613C" w:rsidRPr="00B0613C" w:rsidRDefault="00B0613C" w:rsidP="00B0613C">
      <w:pPr>
        <w:keepNext/>
        <w:keepLines/>
        <w:spacing w:before="180" w:after="120"/>
        <w:ind w:left="360" w:hanging="360"/>
        <w:outlineLvl w:val="0"/>
        <w:rPr>
          <w:rFonts w:eastAsiaTheme="majorEastAsia" w:cstheme="majorBidi"/>
          <w:b/>
          <w:color w:val="FF671B"/>
          <w:sz w:val="24"/>
          <w:szCs w:val="28"/>
          <w:lang w:val="ka-GE" w:eastAsia="ja-JP"/>
        </w:rPr>
      </w:pPr>
      <w:bookmarkStart w:id="7" w:name="_Toc171454714"/>
      <w:r w:rsidRPr="00B0613C">
        <w:rPr>
          <w:rFonts w:eastAsiaTheme="majorEastAsia" w:cstheme="majorBidi"/>
          <w:b/>
          <w:color w:val="FF671B"/>
          <w:sz w:val="24"/>
          <w:szCs w:val="28"/>
          <w:lang w:val="ka-GE" w:eastAsia="ja-JP"/>
        </w:rPr>
        <w:t>ანგარიშსწორების პირობები</w:t>
      </w:r>
      <w:bookmarkEnd w:id="7"/>
    </w:p>
    <w:p w14:paraId="53BBB281" w14:textId="6F009C90" w:rsidR="00B0613C" w:rsidRPr="00C05FD1" w:rsidRDefault="00B0613C" w:rsidP="00B0613C">
      <w:pPr>
        <w:pStyle w:val="ListParagraph"/>
        <w:numPr>
          <w:ilvl w:val="0"/>
          <w:numId w:val="15"/>
        </w:numPr>
        <w:spacing w:after="200" w:line="276" w:lineRule="auto"/>
        <w:rPr>
          <w:lang w:val="ka-GE"/>
        </w:rPr>
      </w:pPr>
      <w:r w:rsidRPr="00C05FD1">
        <w:rPr>
          <w:lang w:val="ka-GE"/>
        </w:rPr>
        <w:t xml:space="preserve">უნაღდო ანგარიშსწორებით შესყიდვის ობიექტის მიღებიდან და შესაბამისი გასადახადო ანგარიშ-ფაქტურის </w:t>
      </w:r>
      <w:r w:rsidR="006646DD" w:rsidRPr="00C05FD1">
        <w:rPr>
          <w:lang w:val="ka-GE"/>
        </w:rPr>
        <w:t>ატვირთვიდან</w:t>
      </w:r>
      <w:r w:rsidRPr="00C05FD1">
        <w:rPr>
          <w:lang w:val="ka-GE"/>
        </w:rPr>
        <w:t xml:space="preserve"> 10 (ათი) სამუშაო დღის განმავლობაში</w:t>
      </w:r>
      <w:r w:rsidR="00B80B03" w:rsidRPr="00C05FD1">
        <w:rPr>
          <w:lang w:val="ka-GE"/>
        </w:rPr>
        <w:t>;</w:t>
      </w:r>
    </w:p>
    <w:p w14:paraId="1ED0435D" w14:textId="25C1447E" w:rsidR="00FE60B5" w:rsidRDefault="00FE60B5" w:rsidP="00BD4E7F">
      <w:pPr>
        <w:keepNext/>
        <w:keepLines/>
        <w:spacing w:before="180" w:after="120"/>
        <w:ind w:left="360" w:hanging="360"/>
        <w:outlineLvl w:val="0"/>
        <w:rPr>
          <w:rFonts w:eastAsiaTheme="majorEastAsia" w:cstheme="majorBidi"/>
          <w:b/>
          <w:color w:val="FF671B"/>
          <w:sz w:val="24"/>
          <w:szCs w:val="28"/>
          <w:lang w:val="ka-GE" w:eastAsia="ja-JP"/>
        </w:rPr>
      </w:pPr>
      <w:bookmarkStart w:id="8" w:name="_Toc171454715"/>
      <w:r>
        <w:rPr>
          <w:rFonts w:eastAsiaTheme="majorEastAsia" w:cstheme="majorBidi"/>
          <w:b/>
          <w:color w:val="FF671B"/>
          <w:sz w:val="24"/>
          <w:szCs w:val="28"/>
          <w:lang w:val="ka-GE" w:eastAsia="ja-JP"/>
        </w:rPr>
        <w:t>განფასებასთან დაკავშირებული მოთხოვნები</w:t>
      </w:r>
      <w:bookmarkEnd w:id="8"/>
    </w:p>
    <w:p w14:paraId="2F50C7E9" w14:textId="5C31A3DE" w:rsidR="00FE60B5" w:rsidRPr="00FC75B4" w:rsidRDefault="00FE60B5" w:rsidP="00FE60B5">
      <w:pPr>
        <w:pStyle w:val="ListParagraph"/>
        <w:numPr>
          <w:ilvl w:val="0"/>
          <w:numId w:val="15"/>
        </w:numPr>
        <w:rPr>
          <w:lang w:val="ka-GE"/>
        </w:rPr>
      </w:pPr>
      <w:r w:rsidRPr="00FC75B4">
        <w:rPr>
          <w:lang w:val="ka-GE"/>
        </w:rPr>
        <w:t>ფასების მოწოდება ხდება დანართი №1-ის მიხედვით (დოკუმენტი ატვირთეთ უფლებამოსილი პირის მიერ ხელმოწერილი, ბეჭდით დამოწმებული, დასკანერებული ვერსია);</w:t>
      </w:r>
    </w:p>
    <w:p w14:paraId="51D709BC" w14:textId="44CC3C2B" w:rsidR="00FE60B5" w:rsidRDefault="00FE60B5" w:rsidP="00FE60B5">
      <w:pPr>
        <w:pStyle w:val="ListParagraph"/>
        <w:numPr>
          <w:ilvl w:val="0"/>
          <w:numId w:val="15"/>
        </w:numPr>
        <w:spacing w:after="200" w:line="276" w:lineRule="auto"/>
        <w:rPr>
          <w:lang w:val="ka-GE"/>
        </w:rPr>
      </w:pPr>
      <w:r w:rsidRPr="00FE60B5">
        <w:rPr>
          <w:lang w:val="ka-GE"/>
        </w:rPr>
        <w:t xml:space="preserve">სატენდერო წინადადებაში ფასი უნდა იყოს წარმოდგენილი </w:t>
      </w:r>
      <w:r w:rsidR="008F5024">
        <w:rPr>
          <w:lang w:val="ka-GE"/>
        </w:rPr>
        <w:t>ლარში,</w:t>
      </w:r>
      <w:r w:rsidRPr="00FE60B5">
        <w:rPr>
          <w:lang w:val="ka-GE"/>
        </w:rPr>
        <w:t xml:space="preserve"> საქართველოს კანონმდებლობით გათვალისწინებულ</w:t>
      </w:r>
      <w:r w:rsidR="00DC0CCF">
        <w:rPr>
          <w:lang w:val="ka-GE"/>
        </w:rPr>
        <w:t>ი</w:t>
      </w:r>
      <w:r w:rsidRPr="00FE60B5">
        <w:rPr>
          <w:lang w:val="ka-GE"/>
        </w:rPr>
        <w:t xml:space="preserve"> გადასახადებ</w:t>
      </w:r>
      <w:r w:rsidR="00DC0CCF">
        <w:rPr>
          <w:lang w:val="ka-GE"/>
        </w:rPr>
        <w:t>ი</w:t>
      </w:r>
      <w:r w:rsidRPr="00FE60B5">
        <w:rPr>
          <w:lang w:val="ka-GE"/>
        </w:rPr>
        <w:t xml:space="preserve">ს და </w:t>
      </w:r>
      <w:r w:rsidR="00DC0CCF">
        <w:rPr>
          <w:lang w:val="ka-GE"/>
        </w:rPr>
        <w:t>გადასახდელების ჩათვლით.</w:t>
      </w:r>
    </w:p>
    <w:p w14:paraId="6B400734" w14:textId="29124E98" w:rsidR="00D140FB" w:rsidRPr="00CF01EB" w:rsidRDefault="00D140FB" w:rsidP="00BD4E7F">
      <w:pPr>
        <w:keepNext/>
        <w:keepLines/>
        <w:spacing w:before="180" w:after="120"/>
        <w:ind w:left="360" w:hanging="360"/>
        <w:outlineLvl w:val="0"/>
        <w:rPr>
          <w:rFonts w:eastAsiaTheme="majorEastAsia" w:cstheme="majorBidi"/>
          <w:b/>
          <w:color w:val="FF671B"/>
          <w:sz w:val="24"/>
          <w:szCs w:val="28"/>
          <w:lang w:eastAsia="ja-JP"/>
        </w:rPr>
      </w:pPr>
      <w:bookmarkStart w:id="9" w:name="_Toc171454716"/>
      <w:r w:rsidRPr="00D140FB">
        <w:rPr>
          <w:rFonts w:eastAsiaTheme="majorEastAsia" w:cstheme="majorBidi"/>
          <w:b/>
          <w:color w:val="FF671B"/>
          <w:sz w:val="24"/>
          <w:szCs w:val="28"/>
          <w:lang w:val="ka-GE" w:eastAsia="ja-JP"/>
        </w:rPr>
        <w:t>დამატებითი ინფორმაცია:</w:t>
      </w:r>
      <w:bookmarkEnd w:id="9"/>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1FF4B3B4" w14:textId="4E7A5F78" w:rsidR="00D600FD" w:rsidRDefault="00831E4A" w:rsidP="00D600FD">
      <w:pPr>
        <w:pStyle w:val="a"/>
        <w:numPr>
          <w:ilvl w:val="0"/>
          <w:numId w:val="0"/>
        </w:numPr>
        <w:ind w:left="360" w:hanging="360"/>
        <w:rPr>
          <w:lang w:eastAsia="en-US"/>
        </w:rPr>
      </w:pPr>
      <w:bookmarkStart w:id="10" w:name="_Toc171454717"/>
      <w:r w:rsidRPr="00C525A4">
        <w:rPr>
          <w:rFonts w:eastAsiaTheme="minorHAnsi" w:cs="Sylfaen"/>
          <w:color w:val="231F20"/>
          <w:sz w:val="22"/>
          <w:szCs w:val="20"/>
          <w:lang w:eastAsia="en-US"/>
        </w:rPr>
        <w:lastRenderedPageBreak/>
        <w:t>დ</w:t>
      </w:r>
      <w:r w:rsidR="00D600FD">
        <w:rPr>
          <w:rFonts w:eastAsiaTheme="minorHAnsi" w:cs="Sylfaen"/>
          <w:color w:val="231F20"/>
          <w:sz w:val="22"/>
          <w:szCs w:val="20"/>
          <w:lang w:eastAsia="en-US"/>
        </w:rPr>
        <w:t>ა</w:t>
      </w:r>
      <w:r w:rsidRPr="00C525A4">
        <w:rPr>
          <w:rFonts w:eastAsiaTheme="minorHAnsi" w:cs="Sylfaen"/>
          <w:color w:val="231F20"/>
          <w:sz w:val="22"/>
          <w:szCs w:val="20"/>
          <w:lang w:eastAsia="en-US"/>
        </w:rPr>
        <w:t>ნართი</w:t>
      </w:r>
      <w:r w:rsidR="009E3949">
        <w:rPr>
          <w:rFonts w:eastAsiaTheme="minorHAnsi" w:cs="Sylfaen"/>
          <w:color w:val="231F20"/>
          <w:sz w:val="22"/>
          <w:szCs w:val="20"/>
          <w:lang w:eastAsia="en-US"/>
        </w:rPr>
        <w:t xml:space="preserve"> #</w:t>
      </w:r>
      <w:r w:rsidRPr="00C525A4">
        <w:rPr>
          <w:rFonts w:eastAsiaTheme="minorHAnsi" w:cs="Sylfaen"/>
          <w:color w:val="231F20"/>
          <w:sz w:val="22"/>
          <w:szCs w:val="20"/>
          <w:lang w:eastAsia="en-US"/>
        </w:rPr>
        <w:t xml:space="preserve">1: </w:t>
      </w:r>
      <w:r w:rsidR="00D600FD">
        <w:rPr>
          <w:rFonts w:eastAsiaTheme="minorHAnsi" w:cs="Sylfaen"/>
          <w:color w:val="231F20"/>
          <w:sz w:val="22"/>
          <w:szCs w:val="20"/>
          <w:lang w:eastAsia="en-US"/>
        </w:rPr>
        <w:t>საქონლის სპეციფიკაცია</w:t>
      </w:r>
      <w:bookmarkEnd w:id="10"/>
    </w:p>
    <w:p w14:paraId="46C69131" w14:textId="45A8C0D9" w:rsidR="004C20E2" w:rsidRPr="00C05FD1" w:rsidRDefault="004C20E2" w:rsidP="00C05FD1">
      <w:pPr>
        <w:pStyle w:val="ListParagraph"/>
        <w:jc w:val="left"/>
      </w:pPr>
    </w:p>
    <w:p w14:paraId="112FDB43" w14:textId="66F8A95C" w:rsidR="00B83E5C" w:rsidRDefault="00D51B14">
      <w:pPr>
        <w:jc w:val="left"/>
        <w:rPr>
          <w:lang w:val="ka-GE"/>
        </w:rPr>
      </w:pPr>
      <w:r>
        <w:rPr>
          <w:noProof/>
          <w:lang w:val="ka-GE"/>
        </w:rPr>
        <w:t xml:space="preserve">       </w:t>
      </w:r>
    </w:p>
    <w:tbl>
      <w:tblPr>
        <w:tblStyle w:val="TableGrid"/>
        <w:tblpPr w:leftFromText="180" w:rightFromText="180" w:vertAnchor="text" w:horzAnchor="margin" w:tblpXSpec="center" w:tblpY="-7"/>
        <w:tblW w:w="10459" w:type="dxa"/>
        <w:tblLook w:val="04A0" w:firstRow="1" w:lastRow="0" w:firstColumn="1" w:lastColumn="0" w:noHBand="0" w:noVBand="1"/>
      </w:tblPr>
      <w:tblGrid>
        <w:gridCol w:w="1703"/>
        <w:gridCol w:w="2882"/>
        <w:gridCol w:w="1710"/>
        <w:gridCol w:w="1620"/>
        <w:gridCol w:w="1350"/>
        <w:gridCol w:w="1194"/>
      </w:tblGrid>
      <w:tr w:rsidR="00282E0E" w:rsidRPr="00045268" w14:paraId="78552D27" w14:textId="77777777" w:rsidTr="00D27098">
        <w:tc>
          <w:tcPr>
            <w:tcW w:w="1703" w:type="dxa"/>
          </w:tcPr>
          <w:p w14:paraId="1E3D0D69" w14:textId="77777777" w:rsidR="00282E0E" w:rsidRPr="003F76DE" w:rsidRDefault="00282E0E" w:rsidP="00A77D5A">
            <w:pPr>
              <w:rPr>
                <w:rFonts w:eastAsiaTheme="majorEastAsia" w:cs="Sylfaen"/>
                <w:b/>
                <w:color w:val="auto"/>
                <w:sz w:val="16"/>
                <w:szCs w:val="28"/>
                <w:lang w:val="ka-GE" w:eastAsia="ja-JP"/>
              </w:rPr>
            </w:pPr>
            <w:r w:rsidRPr="003F76DE">
              <w:rPr>
                <w:rFonts w:eastAsiaTheme="majorEastAsia" w:cs="Sylfaen"/>
                <w:b/>
                <w:color w:val="auto"/>
                <w:sz w:val="16"/>
                <w:szCs w:val="28"/>
                <w:lang w:val="ka-GE" w:eastAsia="ja-JP"/>
              </w:rPr>
              <w:t>საქონლის</w:t>
            </w:r>
          </w:p>
          <w:p w14:paraId="273846AB" w14:textId="77777777" w:rsidR="00282E0E" w:rsidRPr="003F76DE" w:rsidRDefault="00282E0E" w:rsidP="00A77D5A">
            <w:pPr>
              <w:rPr>
                <w:rFonts w:eastAsiaTheme="majorEastAsia" w:cs="Sylfaen"/>
                <w:b/>
                <w:color w:val="auto"/>
                <w:sz w:val="16"/>
                <w:szCs w:val="28"/>
                <w:lang w:val="ka-GE" w:eastAsia="ja-JP"/>
              </w:rPr>
            </w:pPr>
            <w:r w:rsidRPr="003F76DE">
              <w:rPr>
                <w:rFonts w:eastAsiaTheme="majorEastAsia" w:cs="Sylfaen"/>
                <w:b/>
                <w:color w:val="auto"/>
                <w:sz w:val="16"/>
                <w:szCs w:val="28"/>
                <w:lang w:val="ka-GE" w:eastAsia="ja-JP"/>
              </w:rPr>
              <w:t>დასახელება</w:t>
            </w:r>
          </w:p>
        </w:tc>
        <w:tc>
          <w:tcPr>
            <w:tcW w:w="2882" w:type="dxa"/>
          </w:tcPr>
          <w:p w14:paraId="34FBD993" w14:textId="77777777" w:rsidR="00282E0E" w:rsidRPr="003F76DE" w:rsidRDefault="00282E0E" w:rsidP="00A77D5A">
            <w:pPr>
              <w:jc w:val="center"/>
              <w:rPr>
                <w:rFonts w:eastAsiaTheme="majorEastAsia" w:cs="Sylfaen"/>
                <w:b/>
                <w:color w:val="auto"/>
                <w:sz w:val="16"/>
                <w:szCs w:val="28"/>
                <w:lang w:val="ka-GE" w:eastAsia="ja-JP"/>
              </w:rPr>
            </w:pPr>
            <w:r w:rsidRPr="003F76DE">
              <w:rPr>
                <w:b/>
                <w:i/>
                <w:color w:val="auto"/>
                <w:sz w:val="16"/>
                <w:lang w:val="ka-GE"/>
              </w:rPr>
              <w:t>სპეციფიკაცია</w:t>
            </w:r>
          </w:p>
        </w:tc>
        <w:tc>
          <w:tcPr>
            <w:tcW w:w="1710" w:type="dxa"/>
          </w:tcPr>
          <w:p w14:paraId="3CD6B2DF"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 xml:space="preserve">1 თვის შესასყიდი </w:t>
            </w:r>
          </w:p>
          <w:p w14:paraId="1398E005"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რ-ბა (ცალი)</w:t>
            </w:r>
          </w:p>
        </w:tc>
        <w:tc>
          <w:tcPr>
            <w:tcW w:w="1620" w:type="dxa"/>
          </w:tcPr>
          <w:p w14:paraId="6AD6CC79"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1 წლის შესასყიდი</w:t>
            </w:r>
          </w:p>
          <w:p w14:paraId="4D6F21B0"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რ</w:t>
            </w:r>
            <w:r>
              <w:rPr>
                <w:rFonts w:eastAsiaTheme="majorEastAsia" w:cs="Sylfaen"/>
                <w:b/>
                <w:color w:val="auto"/>
                <w:sz w:val="16"/>
                <w:szCs w:val="28"/>
                <w:lang w:val="ka-GE" w:eastAsia="ja-JP"/>
              </w:rPr>
              <w:t>-ბ</w:t>
            </w:r>
            <w:r w:rsidRPr="00BA4C85">
              <w:rPr>
                <w:rFonts w:eastAsiaTheme="majorEastAsia" w:cs="Sylfaen"/>
                <w:b/>
                <w:color w:val="auto"/>
                <w:sz w:val="16"/>
                <w:szCs w:val="28"/>
                <w:lang w:val="ka-GE" w:eastAsia="ja-JP"/>
              </w:rPr>
              <w:t>ა (ცალი)</w:t>
            </w:r>
          </w:p>
        </w:tc>
        <w:tc>
          <w:tcPr>
            <w:tcW w:w="1350" w:type="dxa"/>
          </w:tcPr>
          <w:p w14:paraId="3B6C2DC9"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ერთეულის ფასი (ლარი)</w:t>
            </w:r>
          </w:p>
        </w:tc>
        <w:tc>
          <w:tcPr>
            <w:tcW w:w="1194" w:type="dxa"/>
          </w:tcPr>
          <w:p w14:paraId="4025517C"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ჯამური ფასი</w:t>
            </w:r>
          </w:p>
          <w:p w14:paraId="72B3D73D" w14:textId="77777777" w:rsidR="00282E0E" w:rsidRPr="00BA4C85" w:rsidRDefault="00282E0E" w:rsidP="00A77D5A">
            <w:pPr>
              <w:jc w:val="center"/>
              <w:rPr>
                <w:rFonts w:eastAsiaTheme="majorEastAsia" w:cs="Sylfaen"/>
                <w:b/>
                <w:color w:val="auto"/>
                <w:sz w:val="16"/>
                <w:szCs w:val="28"/>
                <w:lang w:val="ka-GE" w:eastAsia="ja-JP"/>
              </w:rPr>
            </w:pPr>
            <w:r w:rsidRPr="00BA4C85">
              <w:rPr>
                <w:rFonts w:eastAsiaTheme="majorEastAsia" w:cs="Sylfaen"/>
                <w:b/>
                <w:color w:val="auto"/>
                <w:sz w:val="16"/>
                <w:szCs w:val="28"/>
                <w:lang w:val="ka-GE" w:eastAsia="ja-JP"/>
              </w:rPr>
              <w:t>(ლარი)</w:t>
            </w:r>
          </w:p>
        </w:tc>
      </w:tr>
      <w:tr w:rsidR="00282E0E" w:rsidRPr="005A11CD" w14:paraId="58ED0F40" w14:textId="77777777" w:rsidTr="00D27098">
        <w:tc>
          <w:tcPr>
            <w:tcW w:w="1703" w:type="dxa"/>
          </w:tcPr>
          <w:p w14:paraId="76B223E1" w14:textId="1F1646E0" w:rsidR="00282E0E" w:rsidRPr="00E80BE8" w:rsidRDefault="00282E0E" w:rsidP="00A77D5A">
            <w:pPr>
              <w:rPr>
                <w:rFonts w:eastAsia="Times New Roman"/>
                <w:color w:val="333333"/>
                <w:sz w:val="16"/>
                <w:szCs w:val="16"/>
              </w:rPr>
            </w:pPr>
            <w:r>
              <w:rPr>
                <w:color w:val="000000" w:themeColor="text1"/>
                <w:sz w:val="18"/>
                <w:lang w:val="ka-GE"/>
              </w:rPr>
              <w:t xml:space="preserve">სალაროს პოლიეთილენის პარკი </w:t>
            </w:r>
          </w:p>
        </w:tc>
        <w:tc>
          <w:tcPr>
            <w:tcW w:w="2882" w:type="dxa"/>
          </w:tcPr>
          <w:p w14:paraId="2B17728A" w14:textId="77777777" w:rsidR="00282E0E" w:rsidRPr="003F76DE" w:rsidRDefault="00282E0E" w:rsidP="00D27098">
            <w:pPr>
              <w:jc w:val="left"/>
              <w:rPr>
                <w:rFonts w:eastAsia="Times New Roman"/>
                <w:color w:val="333333"/>
                <w:sz w:val="16"/>
                <w:szCs w:val="16"/>
                <w:lang w:val="ka-GE"/>
              </w:rPr>
            </w:pPr>
            <w:r w:rsidRPr="003F76DE">
              <w:rPr>
                <w:rFonts w:eastAsia="Times New Roman"/>
                <w:color w:val="333333"/>
                <w:sz w:val="16"/>
                <w:szCs w:val="16"/>
                <w:lang w:val="ka-GE"/>
              </w:rPr>
              <w:t>•</w:t>
            </w:r>
            <w:r w:rsidRPr="003F76DE">
              <w:rPr>
                <w:rFonts w:eastAsia="Times New Roman"/>
                <w:color w:val="333333"/>
                <w:sz w:val="16"/>
                <w:szCs w:val="16"/>
                <w:lang w:val="ka-GE"/>
              </w:rPr>
              <w:tab/>
              <w:t>სიმაღლე 33.50 სმ</w:t>
            </w:r>
          </w:p>
          <w:p w14:paraId="3D91DF17" w14:textId="77777777" w:rsidR="00282E0E" w:rsidRPr="003F76DE" w:rsidRDefault="00282E0E" w:rsidP="00D27098">
            <w:pPr>
              <w:jc w:val="left"/>
              <w:rPr>
                <w:rFonts w:eastAsia="Times New Roman"/>
                <w:color w:val="333333"/>
                <w:sz w:val="16"/>
                <w:szCs w:val="16"/>
                <w:lang w:val="ka-GE"/>
              </w:rPr>
            </w:pPr>
            <w:r w:rsidRPr="003F76DE">
              <w:rPr>
                <w:rFonts w:eastAsia="Times New Roman"/>
                <w:color w:val="333333"/>
                <w:sz w:val="16"/>
                <w:szCs w:val="16"/>
                <w:lang w:val="ka-GE"/>
              </w:rPr>
              <w:t>•</w:t>
            </w:r>
            <w:r w:rsidRPr="003F76DE">
              <w:rPr>
                <w:rFonts w:eastAsia="Times New Roman"/>
                <w:color w:val="333333"/>
                <w:sz w:val="16"/>
                <w:szCs w:val="16"/>
                <w:lang w:val="ka-GE"/>
              </w:rPr>
              <w:tab/>
              <w:t>სიგანე 24.50 სმ</w:t>
            </w:r>
          </w:p>
          <w:p w14:paraId="20284FB9" w14:textId="77777777" w:rsidR="00282E0E" w:rsidRPr="003F76DE" w:rsidRDefault="00282E0E" w:rsidP="00D27098">
            <w:pPr>
              <w:jc w:val="left"/>
              <w:rPr>
                <w:rFonts w:eastAsia="Times New Roman"/>
                <w:color w:val="333333"/>
                <w:sz w:val="16"/>
                <w:szCs w:val="16"/>
                <w:lang w:val="ka-GE"/>
              </w:rPr>
            </w:pPr>
            <w:r w:rsidRPr="003F76DE">
              <w:rPr>
                <w:rFonts w:eastAsia="Times New Roman"/>
                <w:color w:val="333333"/>
                <w:sz w:val="16"/>
                <w:szCs w:val="16"/>
                <w:lang w:val="ka-GE"/>
              </w:rPr>
              <w:t>•</w:t>
            </w:r>
            <w:r w:rsidRPr="003F76DE">
              <w:rPr>
                <w:rFonts w:eastAsia="Times New Roman"/>
                <w:color w:val="333333"/>
                <w:sz w:val="16"/>
                <w:szCs w:val="16"/>
                <w:lang w:val="ka-GE"/>
              </w:rPr>
              <w:tab/>
              <w:t>ერთი გვერდის სისქე 90 მიკრონი, ორი გვერდის სისქე 180 მიკრონი</w:t>
            </w:r>
          </w:p>
          <w:p w14:paraId="458721EE" w14:textId="77777777" w:rsidR="00282E0E" w:rsidRPr="002A1D69" w:rsidRDefault="00282E0E" w:rsidP="00D27098">
            <w:pPr>
              <w:jc w:val="left"/>
              <w:rPr>
                <w:rFonts w:eastAsia="Times New Roman"/>
                <w:color w:val="333333"/>
                <w:sz w:val="16"/>
                <w:szCs w:val="16"/>
                <w:lang w:val="ka-GE"/>
              </w:rPr>
            </w:pPr>
            <w:r w:rsidRPr="003F76DE">
              <w:rPr>
                <w:rFonts w:eastAsia="Times New Roman"/>
                <w:color w:val="333333"/>
                <w:sz w:val="16"/>
                <w:szCs w:val="16"/>
                <w:lang w:val="ka-GE"/>
              </w:rPr>
              <w:t>•</w:t>
            </w:r>
            <w:r w:rsidRPr="003F76DE">
              <w:rPr>
                <w:rFonts w:eastAsia="Times New Roman"/>
                <w:color w:val="333333"/>
                <w:sz w:val="16"/>
                <w:szCs w:val="16"/>
                <w:lang w:val="ka-GE"/>
              </w:rPr>
              <w:tab/>
              <w:t>გამჭვირვალე</w:t>
            </w:r>
          </w:p>
        </w:tc>
        <w:tc>
          <w:tcPr>
            <w:tcW w:w="1710" w:type="dxa"/>
          </w:tcPr>
          <w:p w14:paraId="6C2D8A5D" w14:textId="77777777" w:rsidR="00282E0E" w:rsidRDefault="00282E0E" w:rsidP="00A77D5A">
            <w:pPr>
              <w:jc w:val="center"/>
              <w:rPr>
                <w:rFonts w:eastAsia="Times New Roman"/>
                <w:color w:val="333333"/>
                <w:sz w:val="16"/>
                <w:szCs w:val="16"/>
                <w:lang w:val="ka-GE"/>
              </w:rPr>
            </w:pPr>
            <w:r>
              <w:rPr>
                <w:rFonts w:eastAsia="Times New Roman"/>
                <w:color w:val="333333"/>
                <w:sz w:val="16"/>
                <w:szCs w:val="16"/>
                <w:lang w:val="ka-GE"/>
              </w:rPr>
              <w:t>125,000 (ას ოცდახუთი ათასი)</w:t>
            </w:r>
          </w:p>
        </w:tc>
        <w:tc>
          <w:tcPr>
            <w:tcW w:w="1620" w:type="dxa"/>
          </w:tcPr>
          <w:p w14:paraId="2A2208FF" w14:textId="77777777" w:rsidR="00282E0E" w:rsidRPr="002A1D69" w:rsidRDefault="00282E0E" w:rsidP="00A77D5A">
            <w:pPr>
              <w:jc w:val="center"/>
              <w:rPr>
                <w:rFonts w:eastAsia="Times New Roman"/>
                <w:color w:val="333333"/>
                <w:sz w:val="16"/>
                <w:szCs w:val="16"/>
                <w:lang w:val="ka-GE"/>
              </w:rPr>
            </w:pPr>
            <w:r w:rsidRPr="003F76DE">
              <w:rPr>
                <w:rFonts w:eastAsia="Times New Roman"/>
                <w:color w:val="333333"/>
                <w:sz w:val="16"/>
                <w:szCs w:val="16"/>
                <w:lang w:val="ka-GE"/>
              </w:rPr>
              <w:t xml:space="preserve">1,500,000 (ერთი მილიონ ხუთასი ათასი) </w:t>
            </w:r>
          </w:p>
        </w:tc>
        <w:tc>
          <w:tcPr>
            <w:tcW w:w="1350" w:type="dxa"/>
          </w:tcPr>
          <w:p w14:paraId="76BFF82C" w14:textId="77777777" w:rsidR="00282E0E" w:rsidRPr="005A11CD" w:rsidRDefault="00282E0E" w:rsidP="00A77D5A">
            <w:pPr>
              <w:jc w:val="center"/>
              <w:rPr>
                <w:rFonts w:eastAsia="Times New Roman"/>
                <w:color w:val="333333"/>
                <w:sz w:val="16"/>
                <w:szCs w:val="16"/>
                <w:lang w:val="ka-GE"/>
              </w:rPr>
            </w:pPr>
          </w:p>
        </w:tc>
        <w:tc>
          <w:tcPr>
            <w:tcW w:w="1194" w:type="dxa"/>
          </w:tcPr>
          <w:p w14:paraId="3DA0B283" w14:textId="77777777" w:rsidR="00282E0E" w:rsidRPr="005A11CD" w:rsidRDefault="00282E0E" w:rsidP="00A77D5A">
            <w:pPr>
              <w:jc w:val="center"/>
              <w:rPr>
                <w:rFonts w:eastAsia="Times New Roman"/>
                <w:color w:val="333333"/>
                <w:sz w:val="16"/>
                <w:szCs w:val="16"/>
                <w:lang w:val="ka-GE"/>
              </w:rPr>
            </w:pPr>
          </w:p>
        </w:tc>
      </w:tr>
      <w:tr w:rsidR="00282E0E" w:rsidRPr="005A11CD" w14:paraId="60756E68" w14:textId="77777777" w:rsidTr="00D27098">
        <w:tc>
          <w:tcPr>
            <w:tcW w:w="1703" w:type="dxa"/>
          </w:tcPr>
          <w:p w14:paraId="196EE4EA" w14:textId="50BE1AC2" w:rsidR="00282E0E" w:rsidRPr="00E80BE8" w:rsidRDefault="00D27098" w:rsidP="00A77D5A">
            <w:pPr>
              <w:rPr>
                <w:rFonts w:eastAsia="Times New Roman"/>
                <w:color w:val="333333"/>
                <w:sz w:val="16"/>
                <w:szCs w:val="16"/>
              </w:rPr>
            </w:pPr>
            <w:r>
              <w:rPr>
                <w:color w:val="000000" w:themeColor="text1"/>
                <w:sz w:val="18"/>
                <w:lang w:val="ka-GE"/>
              </w:rPr>
              <w:t>ლომბარდის</w:t>
            </w:r>
            <w:r w:rsidR="00282E0E">
              <w:rPr>
                <w:color w:val="000000" w:themeColor="text1"/>
                <w:sz w:val="18"/>
                <w:lang w:val="ka-GE"/>
              </w:rPr>
              <w:t xml:space="preserve"> </w:t>
            </w:r>
            <w:r w:rsidR="00282E0E" w:rsidRPr="00EA204E">
              <w:rPr>
                <w:color w:val="000000" w:themeColor="text1"/>
                <w:sz w:val="18"/>
                <w:lang w:val="ka-GE"/>
              </w:rPr>
              <w:t>პოლიეთილენის პარკ</w:t>
            </w:r>
            <w:r w:rsidR="00282E0E">
              <w:rPr>
                <w:color w:val="000000" w:themeColor="text1"/>
                <w:sz w:val="18"/>
                <w:lang w:val="ka-GE"/>
              </w:rPr>
              <w:t xml:space="preserve">ი </w:t>
            </w:r>
          </w:p>
        </w:tc>
        <w:tc>
          <w:tcPr>
            <w:tcW w:w="2882" w:type="dxa"/>
          </w:tcPr>
          <w:p w14:paraId="4E50B69B" w14:textId="77777777" w:rsidR="00282E0E" w:rsidRPr="003F76DE" w:rsidRDefault="00282E0E" w:rsidP="00D27098">
            <w:pPr>
              <w:jc w:val="left"/>
              <w:rPr>
                <w:rFonts w:eastAsia="Times New Roman"/>
                <w:color w:val="333333"/>
                <w:sz w:val="16"/>
                <w:szCs w:val="16"/>
                <w:lang w:val="ka-GE"/>
              </w:rPr>
            </w:pPr>
            <w:r w:rsidRPr="003F76DE">
              <w:rPr>
                <w:rFonts w:eastAsia="Times New Roman"/>
                <w:color w:val="333333"/>
                <w:sz w:val="16"/>
                <w:szCs w:val="16"/>
                <w:lang w:val="ka-GE"/>
              </w:rPr>
              <w:t>•</w:t>
            </w:r>
            <w:r w:rsidRPr="003F76DE">
              <w:rPr>
                <w:rFonts w:eastAsia="Times New Roman"/>
                <w:color w:val="333333"/>
                <w:sz w:val="16"/>
                <w:szCs w:val="16"/>
                <w:lang w:val="ka-GE"/>
              </w:rPr>
              <w:tab/>
              <w:t>სიმაღლე 24.50 სმ</w:t>
            </w:r>
          </w:p>
          <w:p w14:paraId="097A2ABC" w14:textId="77777777" w:rsidR="00282E0E" w:rsidRPr="003F76DE" w:rsidRDefault="00282E0E" w:rsidP="00D27098">
            <w:pPr>
              <w:jc w:val="left"/>
              <w:rPr>
                <w:rFonts w:eastAsia="Times New Roman"/>
                <w:color w:val="333333"/>
                <w:sz w:val="16"/>
                <w:szCs w:val="16"/>
                <w:lang w:val="ka-GE"/>
              </w:rPr>
            </w:pPr>
            <w:r w:rsidRPr="003F76DE">
              <w:rPr>
                <w:rFonts w:eastAsia="Times New Roman"/>
                <w:color w:val="333333"/>
                <w:sz w:val="16"/>
                <w:szCs w:val="16"/>
                <w:lang w:val="ka-GE"/>
              </w:rPr>
              <w:t>•</w:t>
            </w:r>
            <w:r w:rsidRPr="003F76DE">
              <w:rPr>
                <w:rFonts w:eastAsia="Times New Roman"/>
                <w:color w:val="333333"/>
                <w:sz w:val="16"/>
                <w:szCs w:val="16"/>
                <w:lang w:val="ka-GE"/>
              </w:rPr>
              <w:tab/>
              <w:t>სიგანე 15.50 სმ</w:t>
            </w:r>
          </w:p>
          <w:p w14:paraId="2EC61A48" w14:textId="77777777" w:rsidR="00282E0E" w:rsidRPr="003F76DE" w:rsidRDefault="00282E0E" w:rsidP="00D27098">
            <w:pPr>
              <w:jc w:val="left"/>
              <w:rPr>
                <w:rFonts w:eastAsia="Times New Roman"/>
                <w:color w:val="333333"/>
                <w:sz w:val="16"/>
                <w:szCs w:val="16"/>
                <w:lang w:val="ka-GE"/>
              </w:rPr>
            </w:pPr>
            <w:r w:rsidRPr="003F76DE">
              <w:rPr>
                <w:rFonts w:eastAsia="Times New Roman"/>
                <w:color w:val="333333"/>
                <w:sz w:val="16"/>
                <w:szCs w:val="16"/>
                <w:lang w:val="ka-GE"/>
              </w:rPr>
              <w:t>•</w:t>
            </w:r>
            <w:r w:rsidRPr="003F76DE">
              <w:rPr>
                <w:rFonts w:eastAsia="Times New Roman"/>
                <w:color w:val="333333"/>
                <w:sz w:val="16"/>
                <w:szCs w:val="16"/>
                <w:lang w:val="ka-GE"/>
              </w:rPr>
              <w:tab/>
              <w:t>ერთი გვერდის სისქე 70 მიკრონი, ორი გვერდის სისქე 140 მიკრონი</w:t>
            </w:r>
          </w:p>
          <w:p w14:paraId="00EB078A" w14:textId="77777777" w:rsidR="00282E0E" w:rsidRPr="002A1D69" w:rsidRDefault="00282E0E" w:rsidP="00D27098">
            <w:pPr>
              <w:jc w:val="left"/>
              <w:rPr>
                <w:rFonts w:eastAsia="Times New Roman"/>
                <w:color w:val="333333"/>
                <w:sz w:val="16"/>
                <w:szCs w:val="16"/>
                <w:lang w:val="ka-GE"/>
              </w:rPr>
            </w:pPr>
            <w:r w:rsidRPr="003F76DE">
              <w:rPr>
                <w:rFonts w:eastAsia="Times New Roman"/>
                <w:color w:val="333333"/>
                <w:sz w:val="16"/>
                <w:szCs w:val="16"/>
                <w:lang w:val="ka-GE"/>
              </w:rPr>
              <w:t>•</w:t>
            </w:r>
            <w:r w:rsidRPr="003F76DE">
              <w:rPr>
                <w:rFonts w:eastAsia="Times New Roman"/>
                <w:color w:val="333333"/>
                <w:sz w:val="16"/>
                <w:szCs w:val="16"/>
                <w:lang w:val="ka-GE"/>
              </w:rPr>
              <w:tab/>
              <w:t>გამჭვირვალე</w:t>
            </w:r>
          </w:p>
        </w:tc>
        <w:tc>
          <w:tcPr>
            <w:tcW w:w="1710" w:type="dxa"/>
          </w:tcPr>
          <w:p w14:paraId="538CE245" w14:textId="77777777" w:rsidR="00282E0E" w:rsidRDefault="00282E0E" w:rsidP="00A77D5A">
            <w:pPr>
              <w:jc w:val="center"/>
              <w:rPr>
                <w:rFonts w:eastAsia="Times New Roman"/>
                <w:color w:val="333333"/>
                <w:sz w:val="16"/>
                <w:szCs w:val="16"/>
                <w:lang w:val="ka-GE"/>
              </w:rPr>
            </w:pPr>
            <w:r>
              <w:rPr>
                <w:rFonts w:eastAsia="Times New Roman"/>
                <w:color w:val="333333"/>
                <w:sz w:val="16"/>
                <w:szCs w:val="16"/>
                <w:lang w:val="ka-GE"/>
              </w:rPr>
              <w:t>40,000 (ორმოცი ათასი)</w:t>
            </w:r>
          </w:p>
        </w:tc>
        <w:tc>
          <w:tcPr>
            <w:tcW w:w="1620" w:type="dxa"/>
          </w:tcPr>
          <w:p w14:paraId="5ED14031" w14:textId="77777777" w:rsidR="00282E0E" w:rsidRPr="002A1D69" w:rsidRDefault="00282E0E" w:rsidP="00A77D5A">
            <w:pPr>
              <w:jc w:val="center"/>
              <w:rPr>
                <w:rFonts w:eastAsia="Times New Roman"/>
                <w:color w:val="333333"/>
                <w:sz w:val="16"/>
                <w:szCs w:val="16"/>
                <w:lang w:val="ka-GE"/>
              </w:rPr>
            </w:pPr>
            <w:r>
              <w:rPr>
                <w:rFonts w:eastAsia="Times New Roman"/>
                <w:color w:val="333333"/>
                <w:sz w:val="16"/>
                <w:szCs w:val="16"/>
                <w:lang w:val="ka-GE"/>
              </w:rPr>
              <w:t>480,000</w:t>
            </w:r>
            <w:r w:rsidRPr="003F76DE">
              <w:rPr>
                <w:rFonts w:eastAsia="Times New Roman"/>
                <w:color w:val="333333"/>
                <w:sz w:val="16"/>
                <w:szCs w:val="16"/>
                <w:lang w:val="ka-GE"/>
              </w:rPr>
              <w:t xml:space="preserve"> (</w:t>
            </w:r>
            <w:r>
              <w:rPr>
                <w:rFonts w:eastAsia="Times New Roman"/>
                <w:color w:val="333333"/>
                <w:sz w:val="16"/>
                <w:szCs w:val="16"/>
                <w:lang w:val="ka-GE"/>
              </w:rPr>
              <w:t>ოთხას ოთხმოცი ათასი</w:t>
            </w:r>
            <w:r w:rsidRPr="003F76DE">
              <w:rPr>
                <w:rFonts w:eastAsia="Times New Roman"/>
                <w:color w:val="333333"/>
                <w:sz w:val="16"/>
                <w:szCs w:val="16"/>
                <w:lang w:val="ka-GE"/>
              </w:rPr>
              <w:t xml:space="preserve">) </w:t>
            </w:r>
          </w:p>
        </w:tc>
        <w:tc>
          <w:tcPr>
            <w:tcW w:w="1350" w:type="dxa"/>
          </w:tcPr>
          <w:p w14:paraId="1C9875EA" w14:textId="77777777" w:rsidR="00282E0E" w:rsidRPr="005A11CD" w:rsidRDefault="00282E0E" w:rsidP="00A77D5A">
            <w:pPr>
              <w:jc w:val="center"/>
              <w:rPr>
                <w:rFonts w:eastAsia="Times New Roman"/>
                <w:color w:val="333333"/>
                <w:sz w:val="16"/>
                <w:szCs w:val="16"/>
                <w:lang w:val="ka-GE"/>
              </w:rPr>
            </w:pPr>
          </w:p>
        </w:tc>
        <w:tc>
          <w:tcPr>
            <w:tcW w:w="1194" w:type="dxa"/>
          </w:tcPr>
          <w:p w14:paraId="1FF04AE1" w14:textId="77777777" w:rsidR="00282E0E" w:rsidRPr="005A11CD" w:rsidRDefault="00282E0E" w:rsidP="00A77D5A">
            <w:pPr>
              <w:jc w:val="center"/>
              <w:rPr>
                <w:rFonts w:eastAsia="Times New Roman"/>
                <w:color w:val="333333"/>
                <w:sz w:val="16"/>
                <w:szCs w:val="16"/>
                <w:lang w:val="ka-GE"/>
              </w:rPr>
            </w:pPr>
          </w:p>
        </w:tc>
      </w:tr>
      <w:tr w:rsidR="00282E0E" w:rsidRPr="005E4A8A" w14:paraId="74DE2A10" w14:textId="77777777" w:rsidTr="00A77D5A">
        <w:tc>
          <w:tcPr>
            <w:tcW w:w="7915" w:type="dxa"/>
            <w:gridSpan w:val="4"/>
          </w:tcPr>
          <w:p w14:paraId="14196F5D" w14:textId="77777777" w:rsidR="00282E0E" w:rsidRDefault="00282E0E" w:rsidP="00A77D5A">
            <w:pPr>
              <w:jc w:val="center"/>
              <w:rPr>
                <w:rFonts w:eastAsia="Times New Roman"/>
                <w:color w:val="333333"/>
                <w:sz w:val="16"/>
                <w:szCs w:val="16"/>
                <w:lang w:val="ka-GE"/>
              </w:rPr>
            </w:pPr>
          </w:p>
        </w:tc>
        <w:tc>
          <w:tcPr>
            <w:tcW w:w="1350" w:type="dxa"/>
            <w:shd w:val="clear" w:color="auto" w:fill="auto"/>
          </w:tcPr>
          <w:p w14:paraId="2ED2059F" w14:textId="77777777" w:rsidR="00282E0E" w:rsidRPr="00BA4C85" w:rsidRDefault="00282E0E" w:rsidP="00A77D5A">
            <w:pPr>
              <w:jc w:val="center"/>
              <w:rPr>
                <w:rFonts w:eastAsia="Times New Roman"/>
                <w:b/>
                <w:color w:val="auto"/>
                <w:sz w:val="16"/>
                <w:szCs w:val="16"/>
                <w:lang w:val="ka-GE"/>
              </w:rPr>
            </w:pPr>
            <w:r w:rsidRPr="00BA4C85">
              <w:rPr>
                <w:rFonts w:eastAsia="Times New Roman"/>
                <w:b/>
                <w:color w:val="auto"/>
                <w:sz w:val="16"/>
                <w:szCs w:val="16"/>
                <w:lang w:val="ka-GE"/>
              </w:rPr>
              <w:t>მთლიანი თანხა</w:t>
            </w:r>
          </w:p>
        </w:tc>
        <w:tc>
          <w:tcPr>
            <w:tcW w:w="1194" w:type="dxa"/>
            <w:shd w:val="clear" w:color="auto" w:fill="auto"/>
          </w:tcPr>
          <w:p w14:paraId="4A2E7F80" w14:textId="77777777" w:rsidR="00282E0E" w:rsidRPr="00BA4C85" w:rsidRDefault="00282E0E" w:rsidP="00A77D5A">
            <w:pPr>
              <w:jc w:val="center"/>
              <w:rPr>
                <w:rFonts w:eastAsia="Times New Roman"/>
                <w:b/>
                <w:color w:val="auto"/>
                <w:sz w:val="16"/>
                <w:szCs w:val="16"/>
                <w:lang w:val="ka-GE"/>
              </w:rPr>
            </w:pPr>
            <w:r w:rsidRPr="00BA4C85">
              <w:rPr>
                <w:rFonts w:eastAsia="Times New Roman"/>
                <w:b/>
                <w:color w:val="auto"/>
                <w:sz w:val="16"/>
                <w:szCs w:val="16"/>
                <w:lang w:val="ka-GE"/>
              </w:rPr>
              <w:t>-</w:t>
            </w:r>
          </w:p>
        </w:tc>
      </w:tr>
    </w:tbl>
    <w:p w14:paraId="6E37B9F3" w14:textId="356113F6" w:rsidR="00FC75B4" w:rsidRDefault="00FC75B4">
      <w:pPr>
        <w:jc w:val="left"/>
        <w:rPr>
          <w:lang w:val="ka-GE"/>
        </w:rPr>
      </w:pPr>
    </w:p>
    <w:p w14:paraId="68478BEC" w14:textId="757B12A2" w:rsidR="00FC75B4" w:rsidRDefault="00D27098">
      <w:pPr>
        <w:jc w:val="left"/>
        <w:rPr>
          <w:lang w:val="ka-GE"/>
        </w:rPr>
      </w:pPr>
      <w:r>
        <w:rPr>
          <w:noProof/>
          <w:lang w:val="ka-GE"/>
        </w:rPr>
        <w:drawing>
          <wp:inline distT="0" distB="0" distL="0" distR="0" wp14:anchorId="000312E8" wp14:editId="7371F2C3">
            <wp:extent cx="2225040" cy="287147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5040" cy="2871470"/>
                    </a:xfrm>
                    <a:prstGeom prst="rect">
                      <a:avLst/>
                    </a:prstGeom>
                    <a:noFill/>
                  </pic:spPr>
                </pic:pic>
              </a:graphicData>
            </a:graphic>
          </wp:inline>
        </w:drawing>
      </w:r>
    </w:p>
    <w:p w14:paraId="1054F0BC" w14:textId="77777777" w:rsidR="00B83E5C" w:rsidRDefault="00B83E5C">
      <w:pPr>
        <w:jc w:val="left"/>
        <w:rPr>
          <w:lang w:val="ka-GE"/>
        </w:rPr>
      </w:pPr>
    </w:p>
    <w:p w14:paraId="12AA5AC0" w14:textId="6AFAF602" w:rsidR="00D600FD" w:rsidRPr="006725DD" w:rsidRDefault="006725DD">
      <w:pPr>
        <w:jc w:val="left"/>
        <w:rPr>
          <w:b/>
          <w:bCs/>
          <w:sz w:val="18"/>
          <w:szCs w:val="18"/>
          <w:lang w:val="ka-GE"/>
        </w:rPr>
      </w:pPr>
      <w:r w:rsidRPr="006725DD">
        <w:rPr>
          <w:b/>
          <w:bCs/>
          <w:sz w:val="18"/>
          <w:szCs w:val="18"/>
          <w:lang w:val="ka-GE"/>
        </w:rPr>
        <w:t>*ტენდერის დასრულების შემდეგ აუცილებელია</w:t>
      </w:r>
      <w:r>
        <w:rPr>
          <w:b/>
          <w:bCs/>
          <w:sz w:val="18"/>
          <w:szCs w:val="18"/>
          <w:lang w:val="ka-GE"/>
        </w:rPr>
        <w:t xml:space="preserve"> საქონლის</w:t>
      </w:r>
      <w:r w:rsidRPr="006725DD">
        <w:rPr>
          <w:b/>
          <w:bCs/>
          <w:sz w:val="18"/>
          <w:szCs w:val="18"/>
          <w:lang w:val="ka-GE"/>
        </w:rPr>
        <w:t xml:space="preserve"> ნიმუშების წარმოდგენა.</w:t>
      </w:r>
    </w:p>
    <w:p w14:paraId="15B4D0C2" w14:textId="77777777" w:rsidR="006725DD" w:rsidRDefault="006725DD">
      <w:pPr>
        <w:jc w:val="left"/>
        <w:rPr>
          <w:lang w:val="ka-GE"/>
        </w:rPr>
      </w:pPr>
    </w:p>
    <w:p w14:paraId="05CFF1B4" w14:textId="77777777" w:rsidR="00D27098" w:rsidRDefault="00D27098">
      <w:pPr>
        <w:jc w:val="left"/>
        <w:rPr>
          <w:lang w:val="ka-GE"/>
        </w:rPr>
      </w:pPr>
    </w:p>
    <w:p w14:paraId="3C1F51FC" w14:textId="3208B23B"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6BDF7306" w14:textId="1EA33F86" w:rsidR="001804C8" w:rsidRPr="00C525A4" w:rsidRDefault="00C543C0" w:rsidP="0046033E">
      <w:pPr>
        <w:pStyle w:val="a"/>
        <w:numPr>
          <w:ilvl w:val="0"/>
          <w:numId w:val="0"/>
        </w:numPr>
        <w:ind w:left="360" w:hanging="360"/>
        <w:rPr>
          <w:rFonts w:eastAsiaTheme="minorHAnsi" w:cs="Sylfaen"/>
          <w:color w:val="231F20"/>
          <w:sz w:val="22"/>
          <w:szCs w:val="20"/>
          <w:lang w:val="en-US" w:eastAsia="en-US"/>
        </w:rPr>
      </w:pPr>
      <w:r>
        <w:br w:type="page"/>
      </w:r>
      <w:bookmarkStart w:id="11" w:name="_Toc171454718"/>
      <w:r w:rsidR="00B13200" w:rsidRPr="0046033E">
        <w:rPr>
          <w:rFonts w:eastAsiaTheme="minorHAnsi" w:cs="Sylfaen"/>
          <w:color w:val="231F20"/>
          <w:sz w:val="22"/>
          <w:szCs w:val="20"/>
          <w:lang w:eastAsia="en-US"/>
        </w:rPr>
        <w:lastRenderedPageBreak/>
        <w:t>დ</w:t>
      </w:r>
      <w:r w:rsidR="0016141B" w:rsidRPr="00C525A4">
        <w:rPr>
          <w:rFonts w:eastAsiaTheme="minorHAnsi" w:cs="Sylfaen"/>
          <w:color w:val="231F20"/>
          <w:sz w:val="22"/>
          <w:szCs w:val="20"/>
          <w:lang w:eastAsia="en-US"/>
        </w:rPr>
        <w:t>ანართი 2: საბანკო რეკვიზიტები</w:t>
      </w:r>
      <w:bookmarkEnd w:id="11"/>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4"/>
      <w:headerReference w:type="first" r:id="rId15"/>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7FA4" w14:textId="77777777" w:rsidR="008F39E8" w:rsidRDefault="008F39E8" w:rsidP="002E7950">
      <w:r>
        <w:separator/>
      </w:r>
    </w:p>
  </w:endnote>
  <w:endnote w:type="continuationSeparator" w:id="0">
    <w:p w14:paraId="6E03D588" w14:textId="77777777" w:rsidR="008F39E8" w:rsidRDefault="008F39E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12B207E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787EB4">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787EB4">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241A" w14:textId="77777777" w:rsidR="008F39E8" w:rsidRDefault="008F39E8" w:rsidP="002E7950">
      <w:r>
        <w:separator/>
      </w:r>
    </w:p>
  </w:footnote>
  <w:footnote w:type="continuationSeparator" w:id="0">
    <w:p w14:paraId="73172C09" w14:textId="77777777" w:rsidR="008F39E8" w:rsidRDefault="008F39E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77AAC"/>
    <w:multiLevelType w:val="hybridMultilevel"/>
    <w:tmpl w:val="91ECB010"/>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406F7A"/>
    <w:multiLevelType w:val="hybridMultilevel"/>
    <w:tmpl w:val="DB96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4960"/>
    <w:multiLevelType w:val="hybridMultilevel"/>
    <w:tmpl w:val="1BC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7AA5"/>
    <w:multiLevelType w:val="hybridMultilevel"/>
    <w:tmpl w:val="C6622B96"/>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C9C0DC4"/>
    <w:multiLevelType w:val="hybridMultilevel"/>
    <w:tmpl w:val="DC321F5E"/>
    <w:lvl w:ilvl="0" w:tplc="4A4CC50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86EA1"/>
    <w:multiLevelType w:val="hybridMultilevel"/>
    <w:tmpl w:val="E74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81C0E"/>
    <w:multiLevelType w:val="hybridMultilevel"/>
    <w:tmpl w:val="E7E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2576">
    <w:abstractNumId w:val="22"/>
  </w:num>
  <w:num w:numId="2" w16cid:durableId="1593733192">
    <w:abstractNumId w:val="3"/>
  </w:num>
  <w:num w:numId="3" w16cid:durableId="2113624234">
    <w:abstractNumId w:val="28"/>
  </w:num>
  <w:num w:numId="4" w16cid:durableId="657154972">
    <w:abstractNumId w:val="20"/>
  </w:num>
  <w:num w:numId="5" w16cid:durableId="472677354">
    <w:abstractNumId w:val="19"/>
  </w:num>
  <w:num w:numId="6" w16cid:durableId="1864978630">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293637855">
    <w:abstractNumId w:val="9"/>
  </w:num>
  <w:num w:numId="8" w16cid:durableId="237445033">
    <w:abstractNumId w:val="25"/>
  </w:num>
  <w:num w:numId="9" w16cid:durableId="185212994">
    <w:abstractNumId w:val="27"/>
  </w:num>
  <w:num w:numId="10" w16cid:durableId="558059403">
    <w:abstractNumId w:val="5"/>
  </w:num>
  <w:num w:numId="11" w16cid:durableId="629169134">
    <w:abstractNumId w:val="26"/>
  </w:num>
  <w:num w:numId="12" w16cid:durableId="2054308852">
    <w:abstractNumId w:val="0"/>
  </w:num>
  <w:num w:numId="13" w16cid:durableId="1215194811">
    <w:abstractNumId w:val="2"/>
  </w:num>
  <w:num w:numId="14" w16cid:durableId="243228431">
    <w:abstractNumId w:val="29"/>
  </w:num>
  <w:num w:numId="15" w16cid:durableId="138494843">
    <w:abstractNumId w:val="10"/>
  </w:num>
  <w:num w:numId="16" w16cid:durableId="1075543009">
    <w:abstractNumId w:val="24"/>
  </w:num>
  <w:num w:numId="17" w16cid:durableId="324213732">
    <w:abstractNumId w:val="11"/>
  </w:num>
  <w:num w:numId="18" w16cid:durableId="433521792">
    <w:abstractNumId w:val="17"/>
  </w:num>
  <w:num w:numId="19" w16cid:durableId="1478112975">
    <w:abstractNumId w:val="21"/>
  </w:num>
  <w:num w:numId="20" w16cid:durableId="1234778391">
    <w:abstractNumId w:val="18"/>
  </w:num>
  <w:num w:numId="21" w16cid:durableId="1707410322">
    <w:abstractNumId w:val="6"/>
  </w:num>
  <w:num w:numId="22" w16cid:durableId="1866556076">
    <w:abstractNumId w:val="12"/>
  </w:num>
  <w:num w:numId="23" w16cid:durableId="1837189501">
    <w:abstractNumId w:val="15"/>
  </w:num>
  <w:num w:numId="24" w16cid:durableId="1653174347">
    <w:abstractNumId w:val="7"/>
  </w:num>
  <w:num w:numId="25" w16cid:durableId="1591964384">
    <w:abstractNumId w:val="14"/>
  </w:num>
  <w:num w:numId="26" w16cid:durableId="626207736">
    <w:abstractNumId w:val="8"/>
  </w:num>
  <w:num w:numId="27" w16cid:durableId="1159999558">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588730357">
    <w:abstractNumId w:val="16"/>
  </w:num>
  <w:num w:numId="29" w16cid:durableId="1413815072">
    <w:abstractNumId w:val="1"/>
  </w:num>
  <w:num w:numId="30" w16cid:durableId="441262564">
    <w:abstractNumId w:val="4"/>
  </w:num>
  <w:num w:numId="31" w16cid:durableId="380716224">
    <w:abstractNumId w:val="13"/>
  </w:num>
  <w:num w:numId="32" w16cid:durableId="311908305">
    <w:abstractNumId w:val="23"/>
  </w:num>
  <w:num w:numId="33" w16cid:durableId="21489992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0880"/>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1F6D"/>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5BE6"/>
    <w:rsid w:val="000D5F93"/>
    <w:rsid w:val="000D6391"/>
    <w:rsid w:val="000D78A1"/>
    <w:rsid w:val="000E0B98"/>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1EC"/>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6641"/>
    <w:rsid w:val="00177B2B"/>
    <w:rsid w:val="00177C89"/>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6D3"/>
    <w:rsid w:val="001968BE"/>
    <w:rsid w:val="00196B4C"/>
    <w:rsid w:val="001974E3"/>
    <w:rsid w:val="001A018B"/>
    <w:rsid w:val="001A0921"/>
    <w:rsid w:val="001A1674"/>
    <w:rsid w:val="001A16F5"/>
    <w:rsid w:val="001A1790"/>
    <w:rsid w:val="001A1C92"/>
    <w:rsid w:val="001A1EF8"/>
    <w:rsid w:val="001A41BB"/>
    <w:rsid w:val="001A5339"/>
    <w:rsid w:val="001A5E3D"/>
    <w:rsid w:val="001A644B"/>
    <w:rsid w:val="001A65B2"/>
    <w:rsid w:val="001A688F"/>
    <w:rsid w:val="001A6ED1"/>
    <w:rsid w:val="001A7D80"/>
    <w:rsid w:val="001B111F"/>
    <w:rsid w:val="001B1918"/>
    <w:rsid w:val="001B2305"/>
    <w:rsid w:val="001B2D52"/>
    <w:rsid w:val="001B32D3"/>
    <w:rsid w:val="001B36DE"/>
    <w:rsid w:val="001B44A6"/>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2D9E"/>
    <w:rsid w:val="00223D0B"/>
    <w:rsid w:val="0022546A"/>
    <w:rsid w:val="00225AE4"/>
    <w:rsid w:val="002263BB"/>
    <w:rsid w:val="00226A61"/>
    <w:rsid w:val="00227091"/>
    <w:rsid w:val="00227DC9"/>
    <w:rsid w:val="00227E9C"/>
    <w:rsid w:val="00230C86"/>
    <w:rsid w:val="00231598"/>
    <w:rsid w:val="00232A7A"/>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E0E"/>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2A3"/>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75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DE2"/>
    <w:rsid w:val="002F2E41"/>
    <w:rsid w:val="002F2FD8"/>
    <w:rsid w:val="002F381A"/>
    <w:rsid w:val="002F3827"/>
    <w:rsid w:val="002F3A6B"/>
    <w:rsid w:val="002F4B55"/>
    <w:rsid w:val="002F5EE4"/>
    <w:rsid w:val="002F5F03"/>
    <w:rsid w:val="002F612D"/>
    <w:rsid w:val="002F69A8"/>
    <w:rsid w:val="002F70D0"/>
    <w:rsid w:val="002F7575"/>
    <w:rsid w:val="002F7ACE"/>
    <w:rsid w:val="002F7DFA"/>
    <w:rsid w:val="00300F80"/>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07F8"/>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A57"/>
    <w:rsid w:val="00362C9B"/>
    <w:rsid w:val="00364BC7"/>
    <w:rsid w:val="00366380"/>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E30"/>
    <w:rsid w:val="003C6A44"/>
    <w:rsid w:val="003C6E06"/>
    <w:rsid w:val="003C6E17"/>
    <w:rsid w:val="003C7E20"/>
    <w:rsid w:val="003D14DB"/>
    <w:rsid w:val="003D2199"/>
    <w:rsid w:val="003D2E34"/>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6DE"/>
    <w:rsid w:val="003F77EE"/>
    <w:rsid w:val="003F78D6"/>
    <w:rsid w:val="003F7A13"/>
    <w:rsid w:val="00400A22"/>
    <w:rsid w:val="00400A4A"/>
    <w:rsid w:val="00400EBA"/>
    <w:rsid w:val="00401AD5"/>
    <w:rsid w:val="00402FB0"/>
    <w:rsid w:val="00403571"/>
    <w:rsid w:val="00403594"/>
    <w:rsid w:val="0040424A"/>
    <w:rsid w:val="00405332"/>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588"/>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12F"/>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3A5"/>
    <w:rsid w:val="004A46EB"/>
    <w:rsid w:val="004A47ED"/>
    <w:rsid w:val="004A51DC"/>
    <w:rsid w:val="004A5DF7"/>
    <w:rsid w:val="004A60C7"/>
    <w:rsid w:val="004A62F5"/>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0E2"/>
    <w:rsid w:val="004C2109"/>
    <w:rsid w:val="004C22AB"/>
    <w:rsid w:val="004C2BBA"/>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6179"/>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374A"/>
    <w:rsid w:val="005252D8"/>
    <w:rsid w:val="00525339"/>
    <w:rsid w:val="005255D9"/>
    <w:rsid w:val="0052642A"/>
    <w:rsid w:val="00530A73"/>
    <w:rsid w:val="00530D0B"/>
    <w:rsid w:val="00531471"/>
    <w:rsid w:val="005333A4"/>
    <w:rsid w:val="005336A1"/>
    <w:rsid w:val="00533CA6"/>
    <w:rsid w:val="005341A7"/>
    <w:rsid w:val="00534B11"/>
    <w:rsid w:val="00535986"/>
    <w:rsid w:val="0053635F"/>
    <w:rsid w:val="00536D12"/>
    <w:rsid w:val="00537157"/>
    <w:rsid w:val="005401DD"/>
    <w:rsid w:val="00540DAB"/>
    <w:rsid w:val="00541C9B"/>
    <w:rsid w:val="00541CBA"/>
    <w:rsid w:val="005426D6"/>
    <w:rsid w:val="00542DE1"/>
    <w:rsid w:val="00543917"/>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555"/>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2F55"/>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129"/>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5DD"/>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31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C5AF9"/>
    <w:rsid w:val="006D0660"/>
    <w:rsid w:val="006D0852"/>
    <w:rsid w:val="006D09AF"/>
    <w:rsid w:val="006D0A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1D6"/>
    <w:rsid w:val="006D7702"/>
    <w:rsid w:val="006D7B02"/>
    <w:rsid w:val="006E00D2"/>
    <w:rsid w:val="006E0682"/>
    <w:rsid w:val="006E095D"/>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5662"/>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2E21"/>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87EB4"/>
    <w:rsid w:val="007905C3"/>
    <w:rsid w:val="00790DEB"/>
    <w:rsid w:val="00792C32"/>
    <w:rsid w:val="0079326A"/>
    <w:rsid w:val="00793B85"/>
    <w:rsid w:val="00793F3A"/>
    <w:rsid w:val="0079433E"/>
    <w:rsid w:val="00794B5B"/>
    <w:rsid w:val="00795811"/>
    <w:rsid w:val="00796314"/>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22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90B"/>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38E"/>
    <w:rsid w:val="00864D33"/>
    <w:rsid w:val="0086555E"/>
    <w:rsid w:val="008662A8"/>
    <w:rsid w:val="00866B40"/>
    <w:rsid w:val="00867351"/>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9E8"/>
    <w:rsid w:val="008F3D77"/>
    <w:rsid w:val="008F405E"/>
    <w:rsid w:val="008F4064"/>
    <w:rsid w:val="008F41B1"/>
    <w:rsid w:val="008F4366"/>
    <w:rsid w:val="008F4CAF"/>
    <w:rsid w:val="008F5024"/>
    <w:rsid w:val="008F575E"/>
    <w:rsid w:val="008F5C1D"/>
    <w:rsid w:val="008F67B4"/>
    <w:rsid w:val="008F6E81"/>
    <w:rsid w:val="008F6FA8"/>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D72"/>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3D7"/>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4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129"/>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06CF9"/>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2CD4"/>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49F5"/>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4AA7"/>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C750B"/>
    <w:rsid w:val="00AD07CF"/>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2F89"/>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CA1"/>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2ED8"/>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E5C"/>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4C8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C2"/>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2671"/>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D1"/>
    <w:rsid w:val="00C06EA4"/>
    <w:rsid w:val="00C07D0E"/>
    <w:rsid w:val="00C07DC1"/>
    <w:rsid w:val="00C11217"/>
    <w:rsid w:val="00C1136A"/>
    <w:rsid w:val="00C11815"/>
    <w:rsid w:val="00C123DF"/>
    <w:rsid w:val="00C12615"/>
    <w:rsid w:val="00C12645"/>
    <w:rsid w:val="00C14AB6"/>
    <w:rsid w:val="00C14DC5"/>
    <w:rsid w:val="00C150A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41FF"/>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056"/>
    <w:rsid w:val="00C72235"/>
    <w:rsid w:val="00C7238A"/>
    <w:rsid w:val="00C7265F"/>
    <w:rsid w:val="00C7338A"/>
    <w:rsid w:val="00C750C0"/>
    <w:rsid w:val="00C76661"/>
    <w:rsid w:val="00C76D80"/>
    <w:rsid w:val="00C77433"/>
    <w:rsid w:val="00C77741"/>
    <w:rsid w:val="00C77777"/>
    <w:rsid w:val="00C80189"/>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A7F73"/>
    <w:rsid w:val="00CB26EB"/>
    <w:rsid w:val="00CB2886"/>
    <w:rsid w:val="00CB2B7B"/>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3CB"/>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1EB"/>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27098"/>
    <w:rsid w:val="00D272D7"/>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1B14"/>
    <w:rsid w:val="00D52AD2"/>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0FD"/>
    <w:rsid w:val="00D60C04"/>
    <w:rsid w:val="00D633FF"/>
    <w:rsid w:val="00D63585"/>
    <w:rsid w:val="00D63897"/>
    <w:rsid w:val="00D63B0A"/>
    <w:rsid w:val="00D63BDD"/>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122"/>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739"/>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CCF"/>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4DE"/>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769"/>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15E7"/>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245"/>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38C6"/>
    <w:rsid w:val="00FC420D"/>
    <w:rsid w:val="00FC4241"/>
    <w:rsid w:val="00FC42F7"/>
    <w:rsid w:val="00FC436D"/>
    <w:rsid w:val="00FC4662"/>
    <w:rsid w:val="00FC66FD"/>
    <w:rsid w:val="00FC74E6"/>
    <w:rsid w:val="00FC75B4"/>
    <w:rsid w:val="00FC7C1B"/>
    <w:rsid w:val="00FD0205"/>
    <w:rsid w:val="00FD0248"/>
    <w:rsid w:val="00FD05DA"/>
    <w:rsid w:val="00FD0899"/>
    <w:rsid w:val="00FD0ACC"/>
    <w:rsid w:val="00FD0C00"/>
    <w:rsid w:val="00FD15A9"/>
    <w:rsid w:val="00FD1738"/>
    <w:rsid w:val="00FD17A3"/>
    <w:rsid w:val="00FD3633"/>
    <w:rsid w:val="00FD4E46"/>
    <w:rsid w:val="00FD51F1"/>
    <w:rsid w:val="00FD55EB"/>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25F"/>
    <w:rsid w:val="00FE690A"/>
    <w:rsid w:val="00FE7020"/>
    <w:rsid w:val="00FE7D75"/>
    <w:rsid w:val="00FF01DD"/>
    <w:rsid w:val="00FF024E"/>
    <w:rsid w:val="00FF1698"/>
    <w:rsid w:val="00FF1DF3"/>
    <w:rsid w:val="00FF1F97"/>
    <w:rsid w:val="00FF2120"/>
    <w:rsid w:val="00FF2921"/>
    <w:rsid w:val="00FF3717"/>
    <w:rsid w:val="00FF3D46"/>
    <w:rsid w:val="00FF400F"/>
    <w:rsid w:val="00FF5A54"/>
    <w:rsid w:val="00FF6367"/>
    <w:rsid w:val="00FF6700"/>
    <w:rsid w:val="00FF69EC"/>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102">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71082191">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0655719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48451815">
      <w:bodyDiv w:val="1"/>
      <w:marLeft w:val="0"/>
      <w:marRight w:val="0"/>
      <w:marTop w:val="0"/>
      <w:marBottom w:val="0"/>
      <w:divBdr>
        <w:top w:val="none" w:sz="0" w:space="0" w:color="auto"/>
        <w:left w:val="none" w:sz="0" w:space="0" w:color="auto"/>
        <w:bottom w:val="none" w:sz="0" w:space="0" w:color="auto"/>
        <w:right w:val="none" w:sz="0" w:space="0" w:color="auto"/>
      </w:divBdr>
    </w:div>
    <w:div w:id="1050954219">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733386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78400250">
      <w:bodyDiv w:val="1"/>
      <w:marLeft w:val="0"/>
      <w:marRight w:val="0"/>
      <w:marTop w:val="0"/>
      <w:marBottom w:val="0"/>
      <w:divBdr>
        <w:top w:val="none" w:sz="0" w:space="0" w:color="auto"/>
        <w:left w:val="none" w:sz="0" w:space="0" w:color="auto"/>
        <w:bottom w:val="none" w:sz="0" w:space="0" w:color="auto"/>
        <w:right w:val="none" w:sz="0" w:space="0" w:color="auto"/>
      </w:divBdr>
    </w:div>
    <w:div w:id="1670139560">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302260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0833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atchadze@bog.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02F393-1326-4335-B431-F613E16B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6</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103</cp:revision>
  <cp:lastPrinted>2019-10-17T14:03:00Z</cp:lastPrinted>
  <dcterms:created xsi:type="dcterms:W3CDTF">2024-06-30T15:41:00Z</dcterms:created>
  <dcterms:modified xsi:type="dcterms:W3CDTF">2026-02-18T10:59:00Z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