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7C9B5548" w14:textId="77777777" w:rsidR="00AB1C2E" w:rsidRPr="00905499" w:rsidRDefault="00AB1C2E" w:rsidP="00AB1C2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158EDC7A" w14:textId="77777777" w:rsidR="000226D8" w:rsidRDefault="000226D8" w:rsidP="000226D8">
      <w:pPr>
        <w:tabs>
          <w:tab w:val="left" w:pos="1440"/>
        </w:tabs>
        <w:ind w:left="720"/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სს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„</w:t>
      </w:r>
      <w:proofErr w:type="spellStart"/>
      <w:proofErr w:type="gramStart"/>
      <w:r w:rsidRPr="000226D8">
        <w:rPr>
          <w:rFonts w:ascii="Sylfaen" w:hAnsi="Sylfaen" w:cs="Sylfaen"/>
          <w:b/>
          <w:bCs/>
          <w:sz w:val="20"/>
          <w:lang w:val="en-US"/>
        </w:rPr>
        <w:t>ვიანი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>“ (</w:t>
      </w:r>
      <w:proofErr w:type="gramEnd"/>
      <w:r w:rsidRPr="000226D8">
        <w:rPr>
          <w:rFonts w:ascii="Sylfaen" w:hAnsi="Sylfaen" w:cs="Sylfaen"/>
          <w:b/>
          <w:bCs/>
          <w:sz w:val="20"/>
          <w:lang w:val="en-US"/>
        </w:rPr>
        <w:t>„</w:t>
      </w:r>
      <w:proofErr w:type="spellStart"/>
      <w:proofErr w:type="gramStart"/>
      <w:r w:rsidRPr="000226D8">
        <w:rPr>
          <w:rFonts w:ascii="Sylfaen" w:hAnsi="Sylfaen" w:cs="Sylfaen"/>
          <w:b/>
          <w:bCs/>
          <w:sz w:val="20"/>
          <w:lang w:val="en-US"/>
        </w:rPr>
        <w:t>შემსყიდველი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>“</w:t>
      </w:r>
      <w:proofErr w:type="gramEnd"/>
      <w:r w:rsidRPr="000226D8">
        <w:rPr>
          <w:rFonts w:ascii="Sylfaen" w:hAnsi="Sylfaen" w:cs="Sylfaen"/>
          <w:b/>
          <w:bCs/>
          <w:sz w:val="20"/>
          <w:lang w:val="en-US"/>
        </w:rPr>
        <w:t xml:space="preserve">)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აცხადებს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ტენდერს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და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იწვევს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პრეტენდენტებს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მონაწილეობისთვის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შემდეგი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შესყიდვის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ფარგლებში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>:</w:t>
      </w:r>
    </w:p>
    <w:p w14:paraId="128F64D7" w14:textId="77777777" w:rsidR="000226D8" w:rsidRPr="000226D8" w:rsidRDefault="000226D8" w:rsidP="000226D8">
      <w:pPr>
        <w:tabs>
          <w:tab w:val="left" w:pos="1440"/>
        </w:tabs>
        <w:ind w:left="720"/>
        <w:rPr>
          <w:rFonts w:ascii="Sylfaen" w:hAnsi="Sylfaen" w:cs="Sylfaen"/>
          <w:sz w:val="20"/>
          <w:lang w:val="en-US"/>
        </w:rPr>
      </w:pPr>
    </w:p>
    <w:p w14:paraId="24ACEB78" w14:textId="77777777" w:rsidR="000226D8" w:rsidRDefault="000226D8" w:rsidP="000226D8">
      <w:pPr>
        <w:tabs>
          <w:tab w:val="left" w:pos="1440"/>
        </w:tabs>
        <w:ind w:left="720"/>
        <w:rPr>
          <w:rFonts w:ascii="Sylfaen" w:hAnsi="Sylfaen" w:cs="Sylfaen"/>
          <w:b/>
          <w:bCs/>
          <w:sz w:val="20"/>
          <w:lang w:val="en-US"/>
        </w:rPr>
      </w:pPr>
      <w:r w:rsidRPr="000226D8">
        <w:rPr>
          <w:rFonts w:ascii="Sylfaen" w:hAnsi="Sylfaen" w:cs="Sylfaen"/>
          <w:b/>
          <w:bCs/>
          <w:sz w:val="20"/>
          <w:lang w:val="en-US"/>
        </w:rPr>
        <w:t>„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სტაციონარული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ციფრული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რენტგენის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აპარატი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მოზრდილთა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და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პედიატრიული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რენტგენოგრაფიისა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და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b/>
          <w:bCs/>
          <w:sz w:val="20"/>
          <w:lang w:val="en-US"/>
        </w:rPr>
        <w:t>ფლუროსკოპიული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proofErr w:type="gramStart"/>
      <w:r w:rsidRPr="000226D8">
        <w:rPr>
          <w:rFonts w:ascii="Sylfaen" w:hAnsi="Sylfaen" w:cs="Sylfaen"/>
          <w:b/>
          <w:bCs/>
          <w:sz w:val="20"/>
          <w:lang w:val="en-US"/>
        </w:rPr>
        <w:t>გამოკვლევებისთვის</w:t>
      </w:r>
      <w:proofErr w:type="spellEnd"/>
      <w:r w:rsidRPr="000226D8">
        <w:rPr>
          <w:rFonts w:ascii="Sylfaen" w:hAnsi="Sylfaen" w:cs="Sylfaen"/>
          <w:b/>
          <w:bCs/>
          <w:sz w:val="20"/>
          <w:lang w:val="en-US"/>
        </w:rPr>
        <w:t>.“</w:t>
      </w:r>
      <w:proofErr w:type="gramEnd"/>
    </w:p>
    <w:p w14:paraId="30A06A39" w14:textId="77777777" w:rsidR="000226D8" w:rsidRPr="000226D8" w:rsidRDefault="000226D8" w:rsidP="000226D8">
      <w:pPr>
        <w:tabs>
          <w:tab w:val="left" w:pos="1440"/>
        </w:tabs>
        <w:ind w:left="720"/>
        <w:rPr>
          <w:rFonts w:ascii="Sylfaen" w:hAnsi="Sylfaen" w:cs="Sylfaen"/>
          <w:sz w:val="20"/>
          <w:lang w:val="en-US"/>
        </w:rPr>
      </w:pPr>
    </w:p>
    <w:p w14:paraId="18D22872" w14:textId="77777777" w:rsidR="000226D8" w:rsidRPr="000226D8" w:rsidRDefault="000226D8" w:rsidP="000226D8">
      <w:pPr>
        <w:tabs>
          <w:tab w:val="left" w:pos="1440"/>
        </w:tabs>
        <w:ind w:left="720"/>
        <w:rPr>
          <w:rFonts w:ascii="Sylfaen" w:hAnsi="Sylfaen" w:cs="Sylfaen"/>
          <w:sz w:val="20"/>
          <w:lang w:val="en-US"/>
        </w:rPr>
      </w:pPr>
      <w:proofErr w:type="spellStart"/>
      <w:r w:rsidRPr="000226D8">
        <w:rPr>
          <w:rFonts w:ascii="Sylfaen" w:hAnsi="Sylfaen" w:cs="Sylfaen"/>
          <w:sz w:val="20"/>
          <w:lang w:val="en-US"/>
        </w:rPr>
        <w:t>დაინტერესებულ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პრეტენდენტებს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შეუძლიათ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მონაწილეობა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მიიღონ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ტენდერში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და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წარმოადგინონ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საკუთარი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წინადადებები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დადგენილი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პირობებისა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და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ვადების</w:t>
      </w:r>
      <w:proofErr w:type="spellEnd"/>
      <w:r w:rsidRPr="000226D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226D8">
        <w:rPr>
          <w:rFonts w:ascii="Sylfaen" w:hAnsi="Sylfaen" w:cs="Sylfaen"/>
          <w:sz w:val="20"/>
          <w:lang w:val="en-US"/>
        </w:rPr>
        <w:t>შესაბამისად</w:t>
      </w:r>
      <w:proofErr w:type="spellEnd"/>
      <w:r w:rsidRPr="000226D8">
        <w:rPr>
          <w:rFonts w:ascii="Sylfaen" w:hAnsi="Sylfaen" w:cs="Sylfaen"/>
          <w:sz w:val="20"/>
          <w:lang w:val="en-US"/>
        </w:rPr>
        <w:t>.</w:t>
      </w: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16787883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977146">
        <w:rPr>
          <w:rFonts w:ascii="Sylfaen" w:hAnsi="Sylfaen" w:cs="Sylfaen"/>
          <w:sz w:val="20"/>
          <w:lang w:val="ka-GE"/>
        </w:rPr>
        <w:t>20</w:t>
      </w:r>
      <w:r w:rsidR="009B404C" w:rsidRPr="00977146">
        <w:rPr>
          <w:rFonts w:ascii="Sylfaen" w:hAnsi="Sylfaen" w:cs="Sylfaen"/>
          <w:sz w:val="20"/>
          <w:lang w:val="ka-GE"/>
        </w:rPr>
        <w:t>2</w:t>
      </w:r>
      <w:r w:rsidR="00AB1C2E">
        <w:rPr>
          <w:rFonts w:ascii="Sylfaen" w:hAnsi="Sylfaen" w:cs="Sylfaen"/>
          <w:sz w:val="20"/>
          <w:lang w:val="ka-GE"/>
        </w:rPr>
        <w:t xml:space="preserve">6  </w:t>
      </w:r>
      <w:r w:rsidRPr="00977146">
        <w:rPr>
          <w:rFonts w:ascii="Sylfaen" w:hAnsi="Sylfaen" w:cs="Sylfaen"/>
          <w:sz w:val="20"/>
          <w:lang w:val="ka-GE"/>
        </w:rPr>
        <w:t>წლის</w:t>
      </w:r>
      <w:r w:rsidR="002C708E">
        <w:rPr>
          <w:rFonts w:ascii="Sylfaen" w:hAnsi="Sylfaen" w:cs="Sylfaen"/>
          <w:sz w:val="20"/>
          <w:lang w:val="ka-GE"/>
        </w:rPr>
        <w:t xml:space="preserve"> </w:t>
      </w:r>
      <w:r w:rsidR="00AB1C2E">
        <w:rPr>
          <w:rFonts w:ascii="Sylfaen" w:hAnsi="Sylfaen" w:cs="Sylfaen"/>
          <w:sz w:val="20"/>
          <w:lang w:val="ka-GE"/>
        </w:rPr>
        <w:t xml:space="preserve"> 9 მარტის </w:t>
      </w:r>
      <w:r w:rsidRPr="00977146">
        <w:rPr>
          <w:rFonts w:ascii="Sylfaen" w:hAnsi="Sylfaen" w:cs="Sylfaen"/>
          <w:sz w:val="20"/>
          <w:lang w:val="ka-GE"/>
        </w:rPr>
        <w:t xml:space="preserve"> 1</w:t>
      </w:r>
      <w:r w:rsidR="00AB1C2E">
        <w:rPr>
          <w:rFonts w:ascii="Sylfaen" w:hAnsi="Sylfaen" w:cs="Sylfaen"/>
          <w:sz w:val="20"/>
          <w:lang w:val="ka-GE"/>
        </w:rPr>
        <w:t>6</w:t>
      </w:r>
      <w:r w:rsidRPr="00977146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3414C92" w:rsidR="00375CF1" w:rsidRPr="0074386B" w:rsidRDefault="001B48A7" w:rsidP="00BE6E47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574BCF">
        <w:rPr>
          <w:rFonts w:ascii="Sylfaen" w:hAnsi="Sylfaen" w:cs="Sylfaen"/>
          <w:b/>
          <w:sz w:val="20"/>
          <w:lang w:val="ka-GE"/>
        </w:rPr>
        <w:t>აპარატურის</w:t>
      </w:r>
      <w:r w:rsidR="00BE6E47">
        <w:rPr>
          <w:rFonts w:ascii="Sylfaen" w:hAnsi="Sylfaen" w:cs="Sylfaen"/>
          <w:b/>
          <w:sz w:val="20"/>
          <w:lang w:val="ka-GE"/>
        </w:rPr>
        <w:t xml:space="preserve"> მიწოდება და მონტაჟი. </w:t>
      </w:r>
      <w:r w:rsidR="0042617C">
        <w:rPr>
          <w:rFonts w:ascii="Sylfaen" w:hAnsi="Sylfaen" w:cs="Sylfaen"/>
          <w:sz w:val="20"/>
          <w:lang w:val="ka-GE"/>
        </w:rPr>
        <w:t xml:space="preserve"> 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47DC4026" w:rsidR="009D4C4E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1. </w:t>
      </w:r>
      <w:r w:rsidR="00BE6E47"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42617C">
        <w:rPr>
          <w:rFonts w:ascii="Sylfaen" w:hAnsi="Sylfaen" w:cs="Sylfaen"/>
          <w:sz w:val="20"/>
          <w:lang w:val="ka-GE"/>
        </w:rPr>
        <w:t>დანართ #1-ში</w:t>
      </w:r>
      <w:r w:rsidR="0048091B">
        <w:rPr>
          <w:rFonts w:ascii="Sylfaen" w:hAnsi="Sylfaen" w:cs="Sylfaen"/>
          <w:sz w:val="20"/>
          <w:lang w:val="ka-GE"/>
        </w:rPr>
        <w:t>;</w:t>
      </w:r>
    </w:p>
    <w:p w14:paraId="5A19F38F" w14:textId="1FB7CBD6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2. ტენდერში მონაწილების დროს, დანართ #1 ში მითითებული ყველა ველი სრულყოფილად უნდა იყოს შევსებული.</w:t>
      </w:r>
    </w:p>
    <w:p w14:paraId="65219A8B" w14:textId="3D97E5F0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3. </w:t>
      </w:r>
      <w:r w:rsidRPr="00977146">
        <w:rPr>
          <w:rFonts w:ascii="Sylfaen" w:hAnsi="Sylfaen" w:cs="Sylfaen"/>
          <w:color w:val="000000" w:themeColor="text1"/>
          <w:sz w:val="20"/>
          <w:lang w:val="ka-GE"/>
        </w:rPr>
        <w:t>PPM Schedule-ის შევსება სავალდებულოა.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5EA901B6" w14:textId="77777777" w:rsidR="002C708E" w:rsidRDefault="002C708E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21965431" w14:textId="427B49D0" w:rsidR="00BC4D4A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  <w:r>
        <w:rPr>
          <w:rFonts w:ascii="Sylfaen" w:hAnsi="Sylfaen" w:cs="Sylfaen"/>
          <w:sz w:val="20"/>
          <w:lang w:val="ka-GE"/>
        </w:rPr>
        <w:t xml:space="preserve"> </w:t>
      </w:r>
    </w:p>
    <w:p w14:paraId="44DED3E6" w14:textId="77777777" w:rsidR="002C708E" w:rsidRDefault="002C708E" w:rsidP="0010483D">
      <w:pPr>
        <w:rPr>
          <w:rFonts w:ascii="Sylfaen" w:hAnsi="Sylfaen" w:cs="Sylfaen"/>
          <w:sz w:val="20"/>
          <w:lang w:val="ka-GE"/>
        </w:rPr>
      </w:pPr>
    </w:p>
    <w:p w14:paraId="0506F59B" w14:textId="77777777" w:rsidR="002C708E" w:rsidRDefault="002C708E" w:rsidP="0010483D">
      <w:pPr>
        <w:rPr>
          <w:rFonts w:ascii="Sylfaen" w:hAnsi="Sylfaen" w:cs="Sylfaen"/>
          <w:sz w:val="20"/>
          <w:lang w:val="ka-GE"/>
        </w:rPr>
      </w:pPr>
    </w:p>
    <w:p w14:paraId="2D362143" w14:textId="77777777" w:rsidR="002C708E" w:rsidRDefault="002C708E" w:rsidP="0010483D">
      <w:pPr>
        <w:rPr>
          <w:rFonts w:ascii="Sylfaen" w:hAnsi="Sylfaen" w:cs="Sylfaen"/>
          <w:sz w:val="20"/>
          <w:lang w:val="ka-GE"/>
        </w:rPr>
      </w:pPr>
    </w:p>
    <w:p w14:paraId="6A17160A" w14:textId="77777777" w:rsidR="002C708E" w:rsidRPr="00BC4D4A" w:rsidRDefault="002C708E" w:rsidP="0010483D">
      <w:pPr>
        <w:rPr>
          <w:rFonts w:ascii="Sylfaen" w:hAnsi="Sylfaen" w:cs="Sylfaen"/>
          <w:sz w:val="20"/>
          <w:lang w:val="ka-GE"/>
        </w:rPr>
      </w:pP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00261887" w:rsidR="00A92E91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ადგილი:</w:t>
      </w:r>
    </w:p>
    <w:p w14:paraId="1C840EB2" w14:textId="77777777" w:rsidR="00A32B09" w:rsidRDefault="00A32B09" w:rsidP="00A32B09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275135F9" w14:textId="77777777" w:rsidR="00A32B09" w:rsidRDefault="00A32B09" w:rsidP="00A32B09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491E3A90" w14:textId="77777777" w:rsidR="00A32B09" w:rsidRDefault="00A32B09" w:rsidP="00A32B09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692"/>
        <w:gridCol w:w="4407"/>
        <w:gridCol w:w="2825"/>
        <w:gridCol w:w="1384"/>
      </w:tblGrid>
      <w:tr w:rsidR="00977146" w:rsidRPr="00977146" w14:paraId="07DA7A0D" w14:textId="77777777" w:rsidTr="00AA0150">
        <w:trPr>
          <w:trHeight w:val="60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B19" w14:textId="7D457DC3" w:rsidR="00AA0150" w:rsidRPr="00977146" w:rsidRDefault="00AA0150" w:rsidP="00AA0150">
            <w:pPr>
              <w:jc w:val="left"/>
              <w:rPr>
                <w:rFonts w:ascii="Calibri" w:hAnsi="Calibri" w:cs="Calibri"/>
                <w:color w:val="000000" w:themeColor="text1"/>
                <w:sz w:val="20"/>
                <w:lang w:val="en-US"/>
              </w:rPr>
            </w:pPr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 TIH 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08B7" w14:textId="456E29AA" w:rsidR="00AA0150" w:rsidRPr="00977146" w:rsidRDefault="00AA0150" w:rsidP="00AA0150">
            <w:pPr>
              <w:jc w:val="left"/>
              <w:rPr>
                <w:rFonts w:ascii="Calibri" w:hAnsi="Calibri" w:cs="Calibri"/>
                <w:color w:val="000000" w:themeColor="text1"/>
                <w:sz w:val="20"/>
                <w:lang w:val="ka-GE"/>
              </w:rPr>
            </w:pPr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სს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 "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ვიანი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" </w:t>
            </w:r>
            <w:proofErr w:type="gram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-  ,</w:t>
            </w:r>
            <w:proofErr w:type="gram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,მ. 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იაშვილის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სახელობის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ბავშვთა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ცენრალური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>საავადმყოფო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 w:val="20"/>
              </w:rPr>
              <w:t xml:space="preserve">“  </w:t>
            </w:r>
            <w:proofErr w:type="gram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04A9" w14:textId="2C6B6F2B" w:rsidR="00AA0150" w:rsidRPr="00977146" w:rsidRDefault="00AA0150" w:rsidP="00AA0150">
            <w:pPr>
              <w:jc w:val="left"/>
              <w:rPr>
                <w:rFonts w:ascii="Calibri" w:hAnsi="Calibri" w:cs="Calibri"/>
                <w:color w:val="000000" w:themeColor="text1"/>
                <w:szCs w:val="22"/>
                <w:lang w:val="en-US"/>
              </w:rPr>
            </w:pPr>
            <w:proofErr w:type="spellStart"/>
            <w:r w:rsidRPr="00977146">
              <w:rPr>
                <w:rFonts w:ascii="Calibri" w:hAnsi="Calibri" w:cs="Calibri"/>
                <w:color w:val="000000" w:themeColor="text1"/>
                <w:szCs w:val="22"/>
              </w:rPr>
              <w:t>თბილისი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Cs w:val="22"/>
              </w:rPr>
              <w:t xml:space="preserve">, 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Cs w:val="22"/>
              </w:rPr>
              <w:t>ლუბლიანას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proofErr w:type="spellStart"/>
            <w:r w:rsidRPr="00977146">
              <w:rPr>
                <w:rFonts w:ascii="Calibri" w:hAnsi="Calibri" w:cs="Calibri"/>
                <w:color w:val="000000" w:themeColor="text1"/>
                <w:szCs w:val="22"/>
              </w:rPr>
              <w:t>ქუჩა</w:t>
            </w:r>
            <w:proofErr w:type="spellEnd"/>
            <w:r w:rsidRPr="00977146">
              <w:rPr>
                <w:rFonts w:ascii="Calibri" w:hAnsi="Calibri" w:cs="Calibri"/>
                <w:color w:val="000000" w:themeColor="text1"/>
                <w:szCs w:val="22"/>
              </w:rPr>
              <w:t xml:space="preserve"> #2/6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995D" w14:textId="12FA6E70" w:rsidR="00AA0150" w:rsidRPr="00977146" w:rsidRDefault="00AA0150" w:rsidP="00AA0150">
            <w:pPr>
              <w:jc w:val="left"/>
              <w:rPr>
                <w:rFonts w:ascii="Calibri" w:hAnsi="Calibri" w:cs="Calibri"/>
                <w:color w:val="000000" w:themeColor="text1"/>
                <w:szCs w:val="22"/>
                <w:lang w:val="en-US"/>
              </w:rPr>
            </w:pPr>
            <w:r w:rsidRPr="00977146">
              <w:rPr>
                <w:rFonts w:ascii="Calibri" w:hAnsi="Calibri" w:cs="Calibri"/>
                <w:color w:val="000000" w:themeColor="text1"/>
                <w:szCs w:val="22"/>
              </w:rPr>
              <w:t>402295716</w:t>
            </w:r>
          </w:p>
        </w:tc>
      </w:tr>
    </w:tbl>
    <w:p w14:paraId="7C2C2F18" w14:textId="77777777" w:rsid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49BD9783" w14:textId="77777777" w:rsid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513D37B7" w14:textId="77777777" w:rsid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668F0081" w14:textId="77777777" w:rsidR="00BC4D4A" w:rsidRP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675F3D05" w14:textId="372A9FA1" w:rsidR="00BC4D4A" w:rsidRPr="00905499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</w:p>
    <w:p w14:paraId="4158A3D0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5FA75A01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lastRenderedPageBreak/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17BA9088" w14:textId="77777777" w:rsidR="002C708E" w:rsidRPr="00905499" w:rsidRDefault="002C708E" w:rsidP="002C708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5A5BFFFD" w:rsidR="00EB21E8" w:rsidRPr="00977146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977146">
        <w:rPr>
          <w:rFonts w:ascii="Sylfaen" w:hAnsi="Sylfaen" w:cs="Sylfaen"/>
          <w:sz w:val="20"/>
          <w:lang w:val="ka-GE"/>
        </w:rPr>
        <w:t>20</w:t>
      </w:r>
      <w:r w:rsidR="009B404C" w:rsidRPr="00977146">
        <w:rPr>
          <w:rFonts w:ascii="Sylfaen" w:hAnsi="Sylfaen" w:cs="Sylfaen"/>
          <w:sz w:val="20"/>
          <w:lang w:val="ka-GE"/>
        </w:rPr>
        <w:t>2</w:t>
      </w:r>
      <w:r w:rsidR="002C708E">
        <w:rPr>
          <w:rFonts w:ascii="Sylfaen" w:hAnsi="Sylfaen" w:cs="Sylfaen"/>
          <w:sz w:val="20"/>
          <w:lang w:val="ka-GE"/>
        </w:rPr>
        <w:t>6</w:t>
      </w:r>
      <w:r w:rsidR="00C80423" w:rsidRPr="00977146">
        <w:rPr>
          <w:rFonts w:ascii="Sylfaen" w:hAnsi="Sylfaen" w:cs="Sylfaen"/>
          <w:sz w:val="20"/>
          <w:lang w:val="ka-GE"/>
        </w:rPr>
        <w:t xml:space="preserve"> წლის </w:t>
      </w:r>
      <w:r w:rsidR="002C708E">
        <w:rPr>
          <w:rFonts w:ascii="Sylfaen" w:hAnsi="Sylfaen" w:cs="Sylfaen"/>
          <w:sz w:val="20"/>
          <w:lang w:val="ka-GE"/>
        </w:rPr>
        <w:t>9</w:t>
      </w:r>
      <w:r w:rsidR="00474215" w:rsidRPr="00977146">
        <w:rPr>
          <w:rFonts w:ascii="Sylfaen" w:hAnsi="Sylfaen" w:cs="Sylfaen"/>
          <w:sz w:val="20"/>
          <w:lang w:val="ka-GE"/>
        </w:rPr>
        <w:t xml:space="preserve"> </w:t>
      </w:r>
      <w:r w:rsidR="002C708E">
        <w:rPr>
          <w:rFonts w:ascii="Sylfaen" w:hAnsi="Sylfaen" w:cs="Sylfaen"/>
          <w:sz w:val="20"/>
          <w:lang w:val="ka-GE"/>
        </w:rPr>
        <w:t xml:space="preserve">მარტის </w:t>
      </w:r>
      <w:r w:rsidR="0075353F" w:rsidRPr="00977146">
        <w:rPr>
          <w:rFonts w:ascii="Sylfaen" w:hAnsi="Sylfaen" w:cs="Sylfaen"/>
          <w:sz w:val="20"/>
          <w:lang w:val="ka-GE"/>
        </w:rPr>
        <w:t>1</w:t>
      </w:r>
      <w:r w:rsidR="002C708E">
        <w:rPr>
          <w:rFonts w:ascii="Sylfaen" w:hAnsi="Sylfaen" w:cs="Sylfaen"/>
          <w:sz w:val="20"/>
          <w:lang w:val="ka-GE"/>
        </w:rPr>
        <w:t>6</w:t>
      </w:r>
      <w:r w:rsidR="0075353F" w:rsidRPr="00977146">
        <w:rPr>
          <w:rFonts w:ascii="Sylfaen" w:hAnsi="Sylfaen" w:cs="Sylfaen"/>
          <w:sz w:val="20"/>
          <w:lang w:val="ka-GE"/>
        </w:rPr>
        <w:t>:00 საათისა</w:t>
      </w:r>
      <w:r w:rsidR="009F5BE2" w:rsidRPr="00977146">
        <w:rPr>
          <w:rFonts w:ascii="Sylfaen" w:hAnsi="Sylfaen" w:cs="Sylfaen"/>
          <w:sz w:val="20"/>
          <w:lang w:val="ka-GE"/>
        </w:rPr>
        <w:t>.</w:t>
      </w:r>
      <w:r w:rsidR="0075353F" w:rsidRPr="00977146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6A7105A7" w14:textId="77777777" w:rsidR="00977146" w:rsidRDefault="005B7AE4" w:rsidP="00FD5B9D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</w:p>
    <w:p w14:paraId="585F3991" w14:textId="77777777" w:rsidR="00977146" w:rsidRDefault="00977146" w:rsidP="00FD5B9D">
      <w:pPr>
        <w:rPr>
          <w:rFonts w:ascii="Sylfaen" w:hAnsi="Sylfaen" w:cs="Sylfaen"/>
          <w:sz w:val="20"/>
          <w:lang w:val="ka-GE"/>
        </w:rPr>
      </w:pPr>
    </w:p>
    <w:p w14:paraId="71A1B229" w14:textId="0CF2C43E" w:rsidR="00A92E91" w:rsidRPr="00940D33" w:rsidRDefault="005B7AE4" w:rsidP="00FD5B9D">
      <w:pPr>
        <w:rPr>
          <w:rFonts w:ascii="Sylfaen" w:hAnsi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DE29C4">
        <w:t xml:space="preserve">, </w:t>
      </w:r>
      <w:r w:rsidR="00940D33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  <w:r w:rsidR="00AA0150" w:rsidRPr="00977146">
        <w:rPr>
          <w:rFonts w:ascii="Sylfaen" w:hAnsi="Sylfaen" w:cs="Sylfaen"/>
          <w:color w:val="000000" w:themeColor="text1"/>
          <w:sz w:val="20"/>
          <w:lang w:val="ka-GE"/>
        </w:rPr>
        <w:t>kakauridzen@clinics.ge</w:t>
      </w:r>
    </w:p>
    <w:sectPr w:rsidR="00A92E91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EB04" w14:textId="77777777" w:rsidR="00B8329D" w:rsidRDefault="00B8329D">
      <w:r>
        <w:separator/>
      </w:r>
    </w:p>
  </w:endnote>
  <w:endnote w:type="continuationSeparator" w:id="0">
    <w:p w14:paraId="2E06FCBA" w14:textId="77777777" w:rsidR="00B8329D" w:rsidRDefault="00B8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1B72" w14:textId="77777777" w:rsidR="00B8329D" w:rsidRDefault="00B8329D">
      <w:r>
        <w:separator/>
      </w:r>
    </w:p>
  </w:footnote>
  <w:footnote w:type="continuationSeparator" w:id="0">
    <w:p w14:paraId="63C6CC49" w14:textId="77777777" w:rsidR="00B8329D" w:rsidRDefault="00B8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12B403AE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Calibri" w:hAnsi="Calibri" w:cs="Calibri"/>
        <w:noProof/>
        <w:color w:val="701864"/>
        <w:szCs w:val="22"/>
      </w:rPr>
      <w:drawing>
        <wp:inline distT="0" distB="0" distL="0" distR="0" wp14:anchorId="036845DF" wp14:editId="7A77ABFF">
          <wp:extent cx="1143000" cy="298450"/>
          <wp:effectExtent l="0" t="0" r="0" b="6350"/>
          <wp:docPr id="1294875955" name="Picture 3" descr="A purple letter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urple letter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0573202F" w:rsidR="00FD5B9D" w:rsidRPr="00FD5B9D" w:rsidRDefault="00FD5B9D">
    <w:pPr>
      <w:pStyle w:val="Header"/>
      <w:rPr>
        <w:rFonts w:ascii="Sylfaen" w:hAnsi="Sylfaen"/>
        <w:b/>
        <w:lang w:val="ka-GE"/>
      </w:rPr>
    </w:pPr>
    <w:r w:rsidRPr="00FD5B9D">
      <w:rPr>
        <w:rFonts w:ascii="Sylfaen" w:hAnsi="Sylfaen"/>
        <w:b/>
        <w:lang w:val="ka-GE"/>
      </w:rPr>
      <w:t>სს „</w:t>
    </w:r>
    <w:r w:rsidR="001F6598">
      <w:rPr>
        <w:rFonts w:ascii="Sylfaen" w:hAnsi="Sylfaen"/>
        <w:b/>
        <w:lang w:val="ka-GE"/>
      </w:rPr>
      <w:t>ვიანი</w:t>
    </w:r>
    <w:r w:rsidRPr="00FD5B9D">
      <w:rPr>
        <w:rFonts w:ascii="Sylfaen" w:hAnsi="Sylfaen"/>
        <w:b/>
        <w:lang w:val="ka-GE"/>
      </w:rPr>
      <w:t>“</w:t>
    </w:r>
    <w:r w:rsidR="00B95891">
      <w:rPr>
        <w:rFonts w:ascii="Sylfaen" w:hAnsi="Sylfaen"/>
        <w:b/>
        <w:lang w:val="ka-GE"/>
      </w:rPr>
      <w:t xml:space="preserve"> </w:t>
    </w:r>
    <w:r w:rsidR="007A6DB3">
      <w:rPr>
        <w:rFonts w:ascii="Sylfaen" w:hAnsi="Sylfaen"/>
        <w:b/>
        <w:lang w:val="ka-GE"/>
      </w:rPr>
      <w:t>აცხადებს ტენდერს:</w:t>
    </w:r>
  </w:p>
  <w:p w14:paraId="12E22DAA" w14:textId="546DD931" w:rsidR="003319D9" w:rsidRPr="003319D9" w:rsidRDefault="00977146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 xml:space="preserve">ეეგ </w:t>
    </w:r>
    <w:r w:rsidR="0048091B" w:rsidRPr="0048091B">
      <w:rPr>
        <w:rFonts w:ascii="Sylfaen" w:hAnsi="Sylfaen"/>
        <w:b/>
        <w:lang w:val="ka-GE"/>
      </w:rPr>
      <w:t xml:space="preserve"> აპარატ</w:t>
    </w:r>
    <w:r w:rsidR="0048091B">
      <w:rPr>
        <w:rFonts w:ascii="Sylfaen" w:hAnsi="Sylfaen"/>
        <w:b/>
        <w:lang w:val="ka-GE"/>
      </w:rPr>
      <w:t xml:space="preserve">ების </w:t>
    </w:r>
    <w:r w:rsidR="008A340D">
      <w:rPr>
        <w:rFonts w:ascii="Sylfaen" w:hAnsi="Sylfaen"/>
        <w:b/>
        <w:lang w:val="ka-GE"/>
      </w:rPr>
      <w:t>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226D8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C708E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569F"/>
    <w:rsid w:val="003B4E01"/>
    <w:rsid w:val="003C48E8"/>
    <w:rsid w:val="003E7472"/>
    <w:rsid w:val="003F2A25"/>
    <w:rsid w:val="003F30EE"/>
    <w:rsid w:val="0041256E"/>
    <w:rsid w:val="00417D8B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602577"/>
    <w:rsid w:val="006031A0"/>
    <w:rsid w:val="00611BFD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962C5"/>
    <w:rsid w:val="006B4E51"/>
    <w:rsid w:val="006C39DF"/>
    <w:rsid w:val="006D3555"/>
    <w:rsid w:val="006E05B3"/>
    <w:rsid w:val="006E46F7"/>
    <w:rsid w:val="006F54AA"/>
    <w:rsid w:val="00721722"/>
    <w:rsid w:val="0074386B"/>
    <w:rsid w:val="0075353F"/>
    <w:rsid w:val="007608D8"/>
    <w:rsid w:val="007634BF"/>
    <w:rsid w:val="00780D08"/>
    <w:rsid w:val="0078269C"/>
    <w:rsid w:val="00782C74"/>
    <w:rsid w:val="0079467D"/>
    <w:rsid w:val="0079640D"/>
    <w:rsid w:val="007A0809"/>
    <w:rsid w:val="007A2D2F"/>
    <w:rsid w:val="007A36F3"/>
    <w:rsid w:val="007A6DB3"/>
    <w:rsid w:val="007C4162"/>
    <w:rsid w:val="007E1716"/>
    <w:rsid w:val="007E2B97"/>
    <w:rsid w:val="00804A0A"/>
    <w:rsid w:val="00805A41"/>
    <w:rsid w:val="00811BB1"/>
    <w:rsid w:val="008127CD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80929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686"/>
    <w:rsid w:val="009647F1"/>
    <w:rsid w:val="00977146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32B09"/>
    <w:rsid w:val="00A372C3"/>
    <w:rsid w:val="00A376BC"/>
    <w:rsid w:val="00A50223"/>
    <w:rsid w:val="00A63FDD"/>
    <w:rsid w:val="00A7012C"/>
    <w:rsid w:val="00A82AB8"/>
    <w:rsid w:val="00A85F8C"/>
    <w:rsid w:val="00A8632B"/>
    <w:rsid w:val="00A92E91"/>
    <w:rsid w:val="00A95E1A"/>
    <w:rsid w:val="00AA0150"/>
    <w:rsid w:val="00AA641A"/>
    <w:rsid w:val="00AA7BE9"/>
    <w:rsid w:val="00AA7C36"/>
    <w:rsid w:val="00AB1C2E"/>
    <w:rsid w:val="00AB3738"/>
    <w:rsid w:val="00AB736E"/>
    <w:rsid w:val="00AC1966"/>
    <w:rsid w:val="00AF5DFD"/>
    <w:rsid w:val="00B10ACE"/>
    <w:rsid w:val="00B31BEE"/>
    <w:rsid w:val="00B46751"/>
    <w:rsid w:val="00B47E81"/>
    <w:rsid w:val="00B658F8"/>
    <w:rsid w:val="00B808DD"/>
    <w:rsid w:val="00B8329D"/>
    <w:rsid w:val="00B94347"/>
    <w:rsid w:val="00B95891"/>
    <w:rsid w:val="00BA4BB8"/>
    <w:rsid w:val="00BA70E0"/>
    <w:rsid w:val="00BB388C"/>
    <w:rsid w:val="00BB6B9D"/>
    <w:rsid w:val="00BC086D"/>
    <w:rsid w:val="00BC0D0B"/>
    <w:rsid w:val="00BC4D4A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80423"/>
    <w:rsid w:val="00C838C4"/>
    <w:rsid w:val="00C8575D"/>
    <w:rsid w:val="00C92CE3"/>
    <w:rsid w:val="00C969E9"/>
    <w:rsid w:val="00CA4F6A"/>
    <w:rsid w:val="00CC6B99"/>
    <w:rsid w:val="00CC7A8D"/>
    <w:rsid w:val="00CC7DF8"/>
    <w:rsid w:val="00CC7EC8"/>
    <w:rsid w:val="00CD517B"/>
    <w:rsid w:val="00D02320"/>
    <w:rsid w:val="00D114AD"/>
    <w:rsid w:val="00D11D34"/>
    <w:rsid w:val="00D217F8"/>
    <w:rsid w:val="00D305C7"/>
    <w:rsid w:val="00D33369"/>
    <w:rsid w:val="00D42B7E"/>
    <w:rsid w:val="00D70326"/>
    <w:rsid w:val="00D75787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DF24A9"/>
    <w:rsid w:val="00E026AD"/>
    <w:rsid w:val="00E15476"/>
    <w:rsid w:val="00E1738E"/>
    <w:rsid w:val="00E205A7"/>
    <w:rsid w:val="00E3109C"/>
    <w:rsid w:val="00E37EB1"/>
    <w:rsid w:val="00E4656D"/>
    <w:rsid w:val="00E55BD5"/>
    <w:rsid w:val="00E65510"/>
    <w:rsid w:val="00E71227"/>
    <w:rsid w:val="00E73A0C"/>
    <w:rsid w:val="00E77A62"/>
    <w:rsid w:val="00E8508F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28C35B7F37348A3BA28CF707F60209F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691</Words>
  <Characters>5764</Characters>
  <Application>Microsoft Office Word</Application>
  <DocSecurity>0</DocSecurity>
  <Lines>221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8</cp:revision>
  <cp:lastPrinted>2018-06-11T07:22:00Z</cp:lastPrinted>
  <dcterms:created xsi:type="dcterms:W3CDTF">2025-08-21T10:41:00Z</dcterms:created>
  <dcterms:modified xsi:type="dcterms:W3CDTF">2026-03-02T12:10:00Z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