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5C7979E9" w14:textId="77777777" w:rsidR="007F7CB7" w:rsidRPr="007F7CB7" w:rsidRDefault="007F7CB7" w:rsidP="00A82E04">
      <w:pPr>
        <w:autoSpaceDE w:val="0"/>
        <w:autoSpaceDN w:val="0"/>
        <w:adjustRightInd w:val="0"/>
        <w:spacing w:after="0" w:line="240" w:lineRule="auto"/>
        <w:jc w:val="center"/>
        <w:rPr>
          <w:rFonts w:ascii="Sylfaen" w:hAnsi="Sylfaen" w:cs="Sylfaen"/>
          <w:b/>
          <w:sz w:val="28"/>
          <w:szCs w:val="28"/>
          <w:lang w:val="ka-GE"/>
        </w:rPr>
      </w:pPr>
      <w:bookmarkStart w:id="0" w:name="_Hlk193458249"/>
      <w:bookmarkStart w:id="1" w:name="_Hlk193462887"/>
      <w:r w:rsidRPr="007F7CB7">
        <w:rPr>
          <w:rFonts w:ascii="Sylfaen" w:hAnsi="Sylfaen" w:cs="Sylfaen"/>
          <w:b/>
          <w:sz w:val="28"/>
          <w:szCs w:val="28"/>
          <w:lang w:val="ka-GE"/>
        </w:rPr>
        <w:t>გარდაბანში</w:t>
      </w:r>
      <w:r w:rsidR="002C19B6" w:rsidRPr="007F7CB7">
        <w:rPr>
          <w:rFonts w:ascii="Sylfaen" w:hAnsi="Sylfaen" w:cs="Sylfaen"/>
          <w:b/>
          <w:sz w:val="28"/>
          <w:szCs w:val="28"/>
          <w:lang w:val="ka-GE"/>
        </w:rPr>
        <w:t xml:space="preserve"> წყლის აღრიცხვის კვანძების მოწყობის</w:t>
      </w:r>
      <w:r w:rsidR="008412BD" w:rsidRPr="007F7CB7">
        <w:rPr>
          <w:rFonts w:ascii="Sylfaen" w:hAnsi="Sylfaen" w:cs="Sylfaen"/>
          <w:b/>
          <w:sz w:val="28"/>
          <w:szCs w:val="28"/>
          <w:lang w:val="ka-GE"/>
        </w:rPr>
        <w:t xml:space="preserve"> </w:t>
      </w:r>
      <w:r w:rsidR="0044376C" w:rsidRPr="007F7CB7">
        <w:rPr>
          <w:rFonts w:ascii="Sylfaen" w:hAnsi="Sylfaen" w:cs="Sylfaen"/>
          <w:b/>
          <w:sz w:val="28"/>
          <w:szCs w:val="28"/>
          <w:lang w:val="ka-GE"/>
        </w:rPr>
        <w:t xml:space="preserve">სამუშაოების </w:t>
      </w:r>
      <w:bookmarkEnd w:id="0"/>
      <w:r w:rsidR="00F94013" w:rsidRPr="007F7CB7">
        <w:rPr>
          <w:rFonts w:ascii="Sylfaen" w:hAnsi="Sylfaen" w:cs="Sylfaen"/>
          <w:b/>
          <w:sz w:val="28"/>
          <w:szCs w:val="28"/>
          <w:lang w:val="ka-GE"/>
        </w:rPr>
        <w:t>შესყიდ</w:t>
      </w:r>
      <w:bookmarkEnd w:id="1"/>
      <w:r w:rsidR="00F94013" w:rsidRPr="007F7CB7">
        <w:rPr>
          <w:rFonts w:ascii="Sylfaen" w:hAnsi="Sylfaen" w:cs="Sylfaen"/>
          <w:b/>
          <w:sz w:val="28"/>
          <w:szCs w:val="28"/>
          <w:lang w:val="ka-GE"/>
        </w:rPr>
        <w:t>ვის</w:t>
      </w:r>
    </w:p>
    <w:p w14:paraId="4BDC7F5C" w14:textId="415E5F44" w:rsidR="009815C7" w:rsidRPr="007F7CB7" w:rsidRDefault="00F94013" w:rsidP="00A82E04">
      <w:pPr>
        <w:autoSpaceDE w:val="0"/>
        <w:autoSpaceDN w:val="0"/>
        <w:adjustRightInd w:val="0"/>
        <w:spacing w:after="0" w:line="240" w:lineRule="auto"/>
        <w:jc w:val="center"/>
        <w:rPr>
          <w:rFonts w:ascii="Sylfaen" w:hAnsi="Sylfaen" w:cs="Sylfaen"/>
          <w:b/>
          <w:sz w:val="28"/>
          <w:szCs w:val="28"/>
          <w:lang w:val="ka-GE"/>
        </w:rPr>
      </w:pPr>
      <w:r w:rsidRPr="007F7CB7">
        <w:rPr>
          <w:rFonts w:ascii="Sylfaen" w:hAnsi="Sylfaen" w:cs="Sylfaen"/>
          <w:b/>
          <w:sz w:val="28"/>
          <w:szCs w:val="28"/>
          <w:lang w:val="ka-GE"/>
        </w:rPr>
        <w:t xml:space="preserve"> </w:t>
      </w:r>
      <w:r w:rsidR="009815C7" w:rsidRPr="007F7CB7">
        <w:rPr>
          <w:rFonts w:ascii="Sylfaen" w:hAnsi="Sylfaen" w:cs="Sylfaen"/>
          <w:b/>
          <w:sz w:val="28"/>
          <w:szCs w:val="28"/>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t xml:space="preserve">1.1 </w:t>
      </w:r>
      <w:r w:rsidR="001B055A" w:rsidRPr="00B942BA">
        <w:rPr>
          <w:rFonts w:ascii="Sylfaen" w:hAnsi="Sylfaen"/>
          <w:b/>
          <w:sz w:val="20"/>
          <w:szCs w:val="20"/>
          <w:lang w:val="ka-GE"/>
        </w:rPr>
        <w:t>შესყიდვის ობიექტის დასახელება</w:t>
      </w:r>
    </w:p>
    <w:p w14:paraId="4BB0905A" w14:textId="016E712F"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w:t>
      </w:r>
      <w:r w:rsidR="000D0C99">
        <w:rPr>
          <w:rFonts w:ascii="Sylfaen" w:hAnsi="Sylfaen" w:cs="Sylfaen"/>
          <w:sz w:val="20"/>
          <w:szCs w:val="20"/>
          <w:lang w:val="ka-GE"/>
        </w:rPr>
        <w:t>გარდაბანში</w:t>
      </w:r>
      <w:r w:rsidR="00B942BA" w:rsidRPr="00B942BA">
        <w:rPr>
          <w:rFonts w:ascii="Sylfaen" w:hAnsi="Sylfaen" w:cs="Sylfaen"/>
          <w:sz w:val="20"/>
          <w:szCs w:val="20"/>
          <w:lang w:val="ka-GE"/>
        </w:rPr>
        <w:t xml:space="preserve">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0D0C99">
        <w:rPr>
          <w:rFonts w:ascii="Sylfaen" w:hAnsi="Sylfaen" w:cs="Sylfaen"/>
          <w:b/>
          <w:bCs/>
          <w:sz w:val="20"/>
          <w:szCs w:val="20"/>
          <w:lang w:val="ka-GE"/>
        </w:rPr>
        <w:t>არაუმეტეს 4</w:t>
      </w:r>
      <w:r w:rsidR="007F7CB7">
        <w:rPr>
          <w:rFonts w:ascii="Sylfaen" w:hAnsi="Sylfaen" w:cs="Sylfaen"/>
          <w:b/>
          <w:bCs/>
          <w:sz w:val="20"/>
          <w:szCs w:val="20"/>
          <w:lang w:val="ka-GE"/>
        </w:rPr>
        <w:t>0</w:t>
      </w:r>
      <w:r w:rsidR="000D0C99">
        <w:rPr>
          <w:rFonts w:ascii="Sylfaen" w:hAnsi="Sylfaen" w:cs="Sylfaen"/>
          <w:b/>
          <w:bCs/>
          <w:sz w:val="20"/>
          <w:szCs w:val="20"/>
          <w:lang w:val="ka-GE"/>
        </w:rPr>
        <w:t>00</w:t>
      </w:r>
      <w:r w:rsidR="00B942BA" w:rsidRPr="00B942BA">
        <w:rPr>
          <w:rFonts w:ascii="Sylfaen" w:hAnsi="Sylfaen" w:cs="Sylfaen"/>
          <w:b/>
          <w:bCs/>
          <w:sz w:val="20"/>
          <w:szCs w:val="20"/>
          <w:lang w:val="ka-GE"/>
        </w:rPr>
        <w:t xml:space="preserve">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B942BA">
        <w:rPr>
          <w:rFonts w:ascii="Sylfaen" w:hAnsi="Sylfaen"/>
          <w:b/>
          <w:bCs/>
          <w:color w:val="FF0000"/>
          <w:sz w:val="20"/>
          <w:szCs w:val="20"/>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Default="00F5699C" w:rsidP="00F5699C">
      <w:pPr>
        <w:pStyle w:val="CommentText"/>
        <w:jc w:val="both"/>
        <w:rPr>
          <w:rFonts w:ascii="Sylfaen" w:hAnsi="Sylfaen"/>
          <w:lang w:val="ka-GE"/>
        </w:rPr>
      </w:pPr>
      <w:r w:rsidRPr="00B942BA">
        <w:rPr>
          <w:rFonts w:ascii="Sylfaen" w:hAnsi="Sylfaen"/>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6D11BD41" w14:textId="77777777" w:rsidR="00803B07" w:rsidRDefault="00803B07" w:rsidP="00F5699C">
      <w:pPr>
        <w:pStyle w:val="CommentText"/>
        <w:jc w:val="both"/>
        <w:rPr>
          <w:rFonts w:ascii="Sylfaen" w:hAnsi="Sylfaen"/>
          <w:lang w:val="ka-GE"/>
        </w:rPr>
      </w:pPr>
    </w:p>
    <w:p w14:paraId="117A4BAC" w14:textId="77777777" w:rsidR="00803B07" w:rsidRPr="00B942BA" w:rsidRDefault="00803B07" w:rsidP="00F5699C">
      <w:pPr>
        <w:pStyle w:val="CommentText"/>
        <w:jc w:val="both"/>
        <w:rPr>
          <w:rFonts w:ascii="Sylfaen" w:hAnsi="Sylfaen"/>
          <w:lang w:val="ka-GE"/>
        </w:rPr>
      </w:pP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(სატენდერო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0DC46E19"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7F7CB7">
        <w:rPr>
          <w:rFonts w:ascii="Sylfaen" w:hAnsi="Sylfaen" w:cs="Sylfaen"/>
          <w:b/>
          <w:sz w:val="20"/>
          <w:szCs w:val="20"/>
          <w:lang w:val="ka-GE"/>
        </w:rPr>
        <w:t>1</w:t>
      </w:r>
      <w:r w:rsidR="007706D1">
        <w:rPr>
          <w:rFonts w:ascii="Sylfaen" w:hAnsi="Sylfaen" w:cs="Sylfaen"/>
          <w:b/>
          <w:sz w:val="20"/>
          <w:szCs w:val="20"/>
          <w:lang w:val="ka-GE"/>
        </w:rPr>
        <w:t>8</w:t>
      </w:r>
      <w:r w:rsidR="007F7CB7">
        <w:rPr>
          <w:rFonts w:ascii="Sylfaen" w:hAnsi="Sylfaen" w:cs="Sylfaen"/>
          <w:b/>
          <w:sz w:val="20"/>
          <w:szCs w:val="20"/>
          <w:lang w:val="ka-GE"/>
        </w:rPr>
        <w:t xml:space="preserve"> მარტი</w:t>
      </w:r>
      <w:r w:rsidR="00D35725" w:rsidRPr="00B942BA">
        <w:rPr>
          <w:rFonts w:ascii="Sylfaen" w:hAnsi="Sylfaen" w:cs="Sylfaen"/>
          <w:b/>
          <w:sz w:val="20"/>
          <w:szCs w:val="20"/>
        </w:rPr>
        <w:t xml:space="preserve"> </w:t>
      </w:r>
      <w:r w:rsidR="007F7CB7">
        <w:rPr>
          <w:rFonts w:ascii="Sylfaen" w:hAnsi="Sylfaen" w:cs="Sylfaen"/>
          <w:b/>
          <w:sz w:val="20"/>
          <w:szCs w:val="20"/>
        </w:rPr>
        <w:t>15</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r w:rsidRPr="00B942BA">
        <w:rPr>
          <w:rFonts w:ascii="Sylfaen" w:hAnsi="Sylfaen"/>
          <w:b/>
          <w:sz w:val="20"/>
          <w:szCs w:val="20"/>
        </w:rPr>
        <w:lastRenderedPageBreak/>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w:t>
      </w:r>
      <w:r w:rsidR="00C55160" w:rsidRPr="00B942BA">
        <w:rPr>
          <w:rFonts w:ascii="Sylfaen" w:hAnsi="Sylfaen"/>
          <w:color w:val="000000"/>
          <w:sz w:val="20"/>
          <w:szCs w:val="20"/>
          <w:lang w:val="ka-GE"/>
        </w:rPr>
        <w:lastRenderedPageBreak/>
        <w:t>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lastRenderedPageBreak/>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46EF" w14:textId="77777777" w:rsidR="00AE071D" w:rsidRDefault="00AE071D" w:rsidP="007902EA">
      <w:pPr>
        <w:spacing w:after="0" w:line="240" w:lineRule="auto"/>
      </w:pPr>
      <w:r>
        <w:separator/>
      </w:r>
    </w:p>
  </w:endnote>
  <w:endnote w:type="continuationSeparator" w:id="0">
    <w:p w14:paraId="427F97BC" w14:textId="77777777" w:rsidR="00AE071D" w:rsidRDefault="00AE071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640"/>
      <w:docPartObj>
        <w:docPartGallery w:val="Page Numbers (Bottom of Page)"/>
        <w:docPartUnique/>
      </w:docPartObj>
    </w:sdtPr>
    <w:sdtEnd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C2028" w14:textId="77777777" w:rsidR="00AE071D" w:rsidRDefault="00AE071D" w:rsidP="007902EA">
      <w:pPr>
        <w:spacing w:after="0" w:line="240" w:lineRule="auto"/>
      </w:pPr>
      <w:r>
        <w:separator/>
      </w:r>
    </w:p>
  </w:footnote>
  <w:footnote w:type="continuationSeparator" w:id="0">
    <w:p w14:paraId="63F67EC1" w14:textId="77777777" w:rsidR="00AE071D" w:rsidRDefault="00AE071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13"/>
  </w:num>
  <w:num w:numId="2">
    <w:abstractNumId w:val="5"/>
  </w:num>
  <w:num w:numId="3">
    <w:abstractNumId w:val="10"/>
  </w:num>
  <w:num w:numId="4">
    <w:abstractNumId w:val="11"/>
  </w:num>
  <w:num w:numId="5">
    <w:abstractNumId w:val="7"/>
  </w:num>
  <w:num w:numId="6">
    <w:abstractNumId w:val="1"/>
  </w:num>
  <w:num w:numId="7">
    <w:abstractNumId w:val="8"/>
  </w:num>
  <w:num w:numId="8">
    <w:abstractNumId w:val="2"/>
  </w:num>
  <w:num w:numId="9">
    <w:abstractNumId w:val="3"/>
  </w:num>
  <w:num w:numId="10">
    <w:abstractNumId w:val="4"/>
  </w:num>
  <w:num w:numId="11">
    <w:abstractNumId w:val="6"/>
  </w:num>
  <w:num w:numId="12">
    <w:abstractNumId w:val="12"/>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0678"/>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0C99"/>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553"/>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06D1"/>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7F7CB7"/>
    <w:rsid w:val="00803B07"/>
    <w:rsid w:val="00807DEC"/>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071D"/>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0141"/>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0DFC"/>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63</cp:revision>
  <cp:lastPrinted>2015-07-27T06:36:00Z</cp:lastPrinted>
  <dcterms:created xsi:type="dcterms:W3CDTF">2025-09-11T14:33:00Z</dcterms:created>
  <dcterms:modified xsi:type="dcterms:W3CDTF">2026-03-16T08:35:00Z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