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B7A" w:rsidRPr="00D13B7A" w:rsidRDefault="00D13B7A" w:rsidP="00A363DC">
      <w:pPr>
        <w:spacing w:before="120" w:after="120" w:line="240" w:lineRule="auto"/>
        <w:jc w:val="center"/>
        <w:outlineLvl w:val="0"/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ტექნიკური</w:t>
      </w:r>
      <w:r w:rsidRPr="00D13B7A">
        <w:rPr>
          <w:rFonts w:ascii="Sylfaen" w:eastAsia="Times New Roman" w:hAnsi="Sylfaen" w:cs="Times New Roman"/>
          <w:b/>
          <w:bCs/>
          <w:kern w:val="36"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დავალება</w:t>
      </w:r>
      <w:bookmarkStart w:id="0" w:name="_GoBack"/>
      <w:bookmarkEnd w:id="0"/>
    </w:p>
    <w:p w:rsidR="00D13B7A" w:rsidRDefault="00D13B7A" w:rsidP="00A363DC">
      <w:pPr>
        <w:spacing w:before="120" w:after="120" w:line="240" w:lineRule="auto"/>
        <w:jc w:val="center"/>
        <w:outlineLvl w:val="1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საკონსულტაციო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მომსახურება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გარემოსდაცვითი, სოციალური და მმართველობითი (ESG)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ჩარჩოს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შემუშავებისა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GRI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სტანდარტებზე</w:t>
      </w:r>
      <w:r w:rsidR="00A363D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="00A363DC" w:rsidRP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(მსგავს სტანდარტ(ებ)</w:t>
      </w:r>
      <w:r w:rsid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ზე</w:t>
      </w:r>
      <w:r w:rsidR="00A363DC" w:rsidRPr="00A363DC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)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დაფუძნებული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მდგრადობის</w:t>
      </w:r>
      <w:r w:rsidRPr="00D13B7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ანგარიშგებისათვის</w:t>
      </w:r>
    </w:p>
    <w:p w:rsidR="00D13B7A" w:rsidRPr="00D13B7A" w:rsidRDefault="0001437C" w:rsidP="00D13B7A">
      <w:pPr>
        <w:spacing w:after="0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5" style="width:468pt;height:1.8pt" o:hralign="center" o:hrstd="t" o:hr="t" fillcolor="#a0a0a0" stroked="f"/>
        </w:pic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1. ფონი და კონტექსტი</w:t>
      </w:r>
    </w:p>
    <w:p w:rsidR="00A363DC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RMG წარმოადგენს კომპანიათა ჯგუფს, რომელიც საქმიანობს სამთო-მოპოვებითი და </w:t>
      </w:r>
      <w:r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გადამამუშავებელი საქმიანობის სფეროში და ოპერირებს საქართველოში, ქვემო ქართლის რეგიონში. </w: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კომპანია აცნობიერებს გარემოსდაცვითი, სოციალური და მმართველობითი (ESG) პრინციპების ინტეგრირების მნიშვნელობას თავის საქმიანობაში, რათა უზრუნველყოს გრძელვადიანი მდგრადობა, რესურსების პასუხისმგებლიანი მართვა და დაინტერესებული მხარეების მიმართ გამჭვირვალობა.</w:t>
      </w:r>
    </w:p>
    <w:p w:rsidR="00D13B7A" w:rsidRPr="0068327E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ამჟამად კომპანიას არ გააჩნია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ოფიციალური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ESG ჩარჩო ან მდგრადობის ანგარიშგების სისტემა. საწყის ეტაპზე კომპანია გეგმავს დანერგოს  პრაქტიკული ESG სისტემა, რომელიც შესაბამისობაში იქნება საერთაშორისო აღიარებულ სტანდარტებთან, და მოამზადოს 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თავისი პირველი მდგრადობის ანგარიში Global Reporting Initiative (GRI) სტანდარტების ან კონსულტანტის მიერ შეთავაზებული და დასაბუთებული მსგავსი სტანდარტ</w:t>
      </w:r>
      <w:r w:rsidR="00A363DC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ებ</w:t>
      </w:r>
      <w:r w:rsidR="00A363DC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</w:t>
      </w:r>
      <w:r w:rsidR="00781764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(შემდგომში „სტანდარტი“)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შესაბამისად.</w:t>
      </w:r>
    </w:p>
    <w:p w:rsidR="00D13B7A" w:rsidRP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დანერგვისა და </w:t>
      </w:r>
      <w:r w:rsidR="00781764"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სტანდარტის შესაბამისი</w:t>
      </w:r>
      <w:r w:rsidRP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ანგარიშგების საწყის ეტაპზე კომპანია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ითხოვს მხარდაჭერას კლიმატის ცვლილების საკითხებთან დაკავშირებით.</w:t>
      </w:r>
    </w:p>
    <w:p w:rsidR="00D13B7A" w:rsidRDefault="00D13B7A" w:rsidP="00D13B7A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კომპანია ეძებს კვალიფიციურ ეროვნულ </w:t>
      </w:r>
      <w:r w:rsid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ან/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 საერთაშორისო კონსულტანტებს</w:t>
      </w:r>
      <w:r w:rsidR="00F6139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/კ</w:t>
      </w:r>
      <w:r w:rsidR="0068327E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ომპანიას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ტექნიკური დახმარების, დოკუმენტაციის მომზადებისა და შიდა შესაძლებლობების განვითარების მხარდაჭერისთვის ESG-ის</w:t>
      </w:r>
      <w:r w:rsidR="00781764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D13B7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საწყის ეტაპზე დანერგვის ფარგლებში.</w:t>
      </w:r>
    </w:p>
    <w:p w:rsidR="000F3D65" w:rsidRPr="000F3D65" w:rsidRDefault="0001437C" w:rsidP="000F3D65">
      <w:pPr>
        <w:spacing w:after="0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26" style="width:468pt;height:1.8pt" o:hralign="center" o:hrstd="t" o:hr="t" fillcolor="#a0a0a0" stroked="f"/>
        </w:pict>
      </w:r>
    </w:p>
    <w:p w:rsidR="000F3D65" w:rsidRPr="000F3D65" w:rsidRDefault="000F3D65" w:rsidP="000F3D6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2. დავალების მიზნები</w:t>
      </w:r>
    </w:p>
    <w:p w:rsidR="000F3D65" w:rsidRPr="000F3D65" w:rsidRDefault="000F3D65" w:rsidP="000F3D6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კონსულტაციის ძირითადი მიზნებია: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კომპანიისთვის შესაფერისი, მარტივი და პრაქტიკული ESG ჩარჩოს ჩამოყალიბება;</w:t>
      </w:r>
    </w:p>
    <w:p w:rsidR="000F3D65" w:rsidRPr="00722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მდგრადობის პრაქტიკებისა და გამჟღავნებ</w:t>
      </w:r>
      <w:r w:rsidR="00D84E9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 სტანდარტ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</w:t>
      </w:r>
      <w:r w:rsidRPr="00722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ნ შესაბამისობაში მოყვანა;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ESG-ის დანერგვისათვის საჭირო მოდელური პოლიტიკების, პროცედურებისა და შაბლონების შემუშავება;</w:t>
      </w:r>
    </w:p>
    <w:p w:rsidR="000F3D65" w:rsidRPr="000F3D65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F3D6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შიდა შესაძლებლობების გაძლიერება ESG მონაცემების მუდმივი მართვისა და ანგარიშგებისათვის;</w:t>
      </w:r>
    </w:p>
    <w:p w:rsidR="000F3D65" w:rsidRPr="007A37DB" w:rsidRDefault="000F3D65" w:rsidP="000F3D65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 xml:space="preserve">კომპანიის პირველი </w:t>
      </w:r>
      <w:r w:rsidR="007A37DB"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სტანდარტზე</w:t>
      </w:r>
      <w:r w:rsidR="00ED2092"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დაფუძნებული მდგრადობის ანგარიშის მომზადება;</w:t>
      </w:r>
    </w:p>
    <w:p w:rsidR="000F3D65" w:rsidRPr="007A37DB" w:rsidRDefault="000F3D65" w:rsidP="00FA47F7">
      <w:pPr>
        <w:pStyle w:val="ListParagraph"/>
        <w:numPr>
          <w:ilvl w:val="0"/>
          <w:numId w:val="3"/>
        </w:num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Times New Roman"/>
        </w:rPr>
      </w:pP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კლიმატის ცვლილებისა და სათბურის აირების (GHG) საკითხების საბაზისო ინტეგრირება</w:t>
      </w:r>
      <w:r w:rsidR="008E3F66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  <w:r w:rsidRPr="007A37D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01437C">
        <w:rPr>
          <w:rFonts w:ascii="Sylfaen" w:eastAsia="Times New Roman" w:hAnsi="Sylfaen" w:cs="Times New Roman"/>
        </w:rPr>
        <w:pict>
          <v:rect id="_x0000_i1027" style="width:468pt;height:1.8pt" o:hralign="center" o:hrstd="t" o:hr="t" fillcolor="#a0a0a0" stroked="f"/>
        </w:pict>
      </w:r>
    </w:p>
    <w:p w:rsidR="008707D6" w:rsidRPr="00CF25D9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3. </w:t>
      </w:r>
      <w:r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მომსახურების </w:t>
      </w:r>
      <w:r w:rsidR="00CF25D9"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</w:t>
      </w:r>
      <w:r w:rsidR="00EA4BCF" w:rsidRP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განი</w:t>
      </w:r>
    </w:p>
    <w:p w:rsidR="008707D6" w:rsidRPr="008707D6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უზრუნველყოს შემდეგი მომსახურებები:</w:t>
      </w:r>
    </w:p>
    <w:p w:rsidR="008707D6" w:rsidRPr="008707D6" w:rsidRDefault="008707D6" w:rsidP="008707D6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3.1 </w:t>
      </w:r>
      <w:r w:rsid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არსებული </w:t>
      </w: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ESG </w:t>
      </w:r>
      <w:r w:rsidR="002F1BAC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საკითხების</w:t>
      </w:r>
      <w:r w:rsidR="007A37DB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შეფასება</w:t>
      </w:r>
    </w:p>
    <w:p w:rsidR="008707D6" w:rsidRP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კომპანიაში 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არსებული პრაქტიკების, პოლიტიკებისა და მონაცემთა ხელმისაწვდომობის მიმოხილვა;</w:t>
      </w:r>
    </w:p>
    <w:p w:rsidR="008707D6" w:rsidRP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ოპერაციებთან დაკავშირებული ძირითადი ESG ხარვეზებისა და პრიორიტეტული მიმართულებების იდენტიფიცირება;</w:t>
      </w:r>
    </w:p>
    <w:p w:rsidR="008707D6" w:rsidRDefault="008707D6" w:rsidP="008707D6">
      <w:pPr>
        <w:numPr>
          <w:ilvl w:val="0"/>
          <w:numId w:val="4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რისკებისა და შესაძლებლობების მაღალ დონეზე 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="00F532CC"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მარტივი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შეფასება.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3.2 ESG ჩარჩოს შემუშავება</w:t>
      </w:r>
    </w:p>
    <w:p w:rsidR="008707D6" w:rsidRPr="008707D6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კომპანიის ზომის, სექტორისა და განვითარების ეტაპის გათვალისწინებით საბაზისო ESG ჩარჩოს დიზაინი;</w:t>
      </w:r>
    </w:p>
    <w:p w:rsidR="008707D6" w:rsidRPr="00272A1C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პრიორიტეტული ESG თემების </w:t>
      </w:r>
      <w:r w:rsidR="00B23E4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(არსებითი საკითხების</w:t>
      </w: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="00E101D1"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/ძირითადი შესრულების ინდიკატორების (KPI)</w:t>
      </w:r>
      <w:r w:rsidRPr="00272A1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განსაზღვრა გამარტივებული მატერიალურობის მიდგომის გამოყენებით;</w:t>
      </w:r>
      <w:r w:rsidR="003F096A" w:rsidRPr="00272A1C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</w:p>
    <w:p w:rsidR="008707D6" w:rsidRPr="008707D6" w:rsidRDefault="008707D6" w:rsidP="008707D6">
      <w:pPr>
        <w:numPr>
          <w:ilvl w:val="0"/>
          <w:numId w:val="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გზამკვლევის </w:t>
      </w: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შემუშავება მომდევნო </w:t>
      </w:r>
      <w:r w:rsidR="004A431F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წლებისთვის. 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3.3 ESG დოკუმენტაციის შემუშავება (შაბლონები და მოდელები)</w:t>
      </w: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წარმოადგინოს მოდელური და მაგალითობრივი დოკუმენტები, მათ შორის, მაგრამ არა მხოლოდ: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გარემოსდაცვითი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შრომის უსაფრთხოებისა და ჯანმრთელობის დაცვის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სოციალური პასუხისმგებლობის / ადამიანის უფლებების პოლიტიკა;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ეთიკისა და ბიზნეს ქცევის კოდექსი;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მმართველობისა და შესაბამისობის სახელმძღვანელო პრინციპები;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მონაცემთა შეგროვების შაბლონები </w:t>
      </w:r>
      <w:r w:rsidRPr="00F532C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 ბაზები;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დაინტერესებულ მხარეთა ჩართულობის შაბლონი (მარტივი ფორმატი);</w:t>
      </w:r>
    </w:p>
    <w:p w:rsidR="008707D6" w:rsidRPr="008707D6" w:rsidRDefault="008707D6" w:rsidP="008707D6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8707D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საჩივრების მექანიზმი.</w:t>
      </w:r>
    </w:p>
    <w:p w:rsidR="008707D6" w:rsidRPr="001951F5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951F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ყველა დოკუმენტი უნდა იყოს პრაქტიკული, რედაქტირებადი და კომპანიისთვის ადაპტირებული, და არა ზოგადი ნიმუშების პირდაპირი ასლი.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1951F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3.4 ანგარიშგებ</w:t>
      </w:r>
      <w:r w:rsidR="00E101D1" w:rsidRPr="001951F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ა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 უნივერსალური და თემატური სტანდარტების იდენტიფიცირება;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ხელმისაწვდომი მონაცემების შედარება 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გამჟღავნების მოთხოვნებთან;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შერჩეული ინდიკატორებისათვის მონაცემთა შეგროვებისა და ვალიდაციის მხარდაჭერა;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პირველი მდგრადობის ანგარიშის მომზადება </w:t>
      </w:r>
      <w:r w:rsidR="0029562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არჩეული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სტანდარტის შესაბამისად;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ანგარიშის საზოგადოებისთვის გასაჯაროებისთვის მზადყოფნის უზრუნველყოფა;</w:t>
      </w:r>
    </w:p>
    <w:p w:rsidR="008707D6" w:rsidRPr="00E101D1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კომპანიის თანამშრომლებისათვის </w:t>
      </w:r>
      <w:r w:rsidR="00955DA6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პერიოდული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საინფორმაციო </w:t>
      </w:r>
      <w:r w:rsidR="00117D42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შეხვედრების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ჩატარება ESG-ის საფუძვლებზე, ანგარიშგების პრინციპებზე, ESG მონაცემთა მართვასა და შიდა პასუხისმგებლობებზე;</w:t>
      </w:r>
    </w:p>
    <w:p w:rsidR="008707D6" w:rsidRPr="00072928" w:rsidRDefault="008707D6" w:rsidP="008707D6">
      <w:pPr>
        <w:numPr>
          <w:ilvl w:val="0"/>
          <w:numId w:val="7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პრაქტიკული რეკომენდაციების მიწოდება მომავალ შიდა ESG ანგარიშგების</w:t>
      </w:r>
      <w:r w:rsidR="00955DA6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ეტაპებთან 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დაკავშირებით.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3.5 კლიმატის ცვლილება და სათბური აირები (საწყისი ეტაპი)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ESG-ის დანერგვისა და ანგარიშგების ფარგლებში კომპანია ითხოვს კლიმატის ცვლილების </w:t>
      </w:r>
      <w:r w:rsidRPr="00B36364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საკითხებზე საბაზისო მხარდაჭერას,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რაც შესაბამისი იქნება სამთო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</w:rPr>
        <w:t>-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მოპოვებითი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კომპანიისათვის, რომელსაც მოკლევადიან პერსპექტივაში დეკარბონიზაციის შეზღუდული პოტენციალი აქვს.</w:t>
      </w:r>
    </w:p>
    <w:p w:rsidR="008707D6" w:rsidRPr="00072928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უნდა:</w:t>
      </w:r>
    </w:p>
    <w:p w:rsidR="008707D6" w:rsidRPr="00072928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მოამზადოს კომპანიის სამთო</w:t>
      </w:r>
      <w:r w:rsid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-მოპოვებით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ოპერაციებთან დაკავშირებული სათბური აირების ძირითადი ემისიის წყაროების მარტივი მიმოხილვა;</w:t>
      </w:r>
    </w:p>
    <w:p w:rsidR="008707D6" w:rsidRPr="00072928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შეიმუშაოს სათბური აირების </w:t>
      </w:r>
      <w:r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ემისიების </w:t>
      </w:r>
      <w:r w:rsidR="00424648" w:rsidRPr="00E101D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საბაზისო კვლევა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(მხოლოდ Scope 1 და Scope 2), ხელმისაწვდომ მონაცემებსა და მკაფიოდ განსაზღვრულ დაშვებებზე დაყრდნობით;</w:t>
      </w:r>
    </w:p>
    <w:p w:rsidR="008707D6" w:rsidRDefault="008707D6" w:rsidP="008707D6">
      <w:pPr>
        <w:numPr>
          <w:ilvl w:val="0"/>
          <w:numId w:val="8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შესთავაზოს </w:t>
      </w:r>
      <w:r w:rsidRPr="007D04A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 აირების ემისიების წლიური მონიტორინგისა და ანგარიშგების მარტივი მიდგომა ESG პოლიტიკასა</w:t>
      </w:r>
      <w:r w:rsidRPr="0007292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მდგრადობის ანგარიშში ინტეგრირების მიზნით.</w:t>
      </w:r>
    </w:p>
    <w:p w:rsidR="00424648" w:rsidRDefault="0001437C" w:rsidP="00AE63D2">
      <w:pPr>
        <w:tabs>
          <w:tab w:val="left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Times New Roman"/>
        </w:rPr>
        <w:pict>
          <v:rect id="_x0000_i1028" style="width:468pt;height:1.8pt" o:hralign="center" o:hrstd="t" o:hr="t" fillcolor="#a0a0a0" stroked="f"/>
        </w:pict>
      </w:r>
    </w:p>
    <w:p w:rsidR="00424648" w:rsidRPr="00424648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4. </w:t>
      </w:r>
      <w:r w:rsidR="006E61C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წარმოსადგენი პროდუქტი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(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</w:rPr>
        <w:t>Deliverables</w:t>
      </w:r>
      <w:r w:rsid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)</w:t>
      </w:r>
      <w:r w:rsidR="004D288A" w:rsidRPr="007D04A9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</w:t>
      </w:r>
    </w:p>
    <w:p w:rsidR="00424648" w:rsidRPr="007D04A9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უზრუნველყოს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3E0FFD" w:rsidRPr="003E0FF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შემდეგ</w:t>
      </w:r>
      <w:r w:rsidRPr="003E0FFD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 </w:t>
      </w:r>
      <w:r w:rsidR="007D04A9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პროდუქტის წარმოდგენა: 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ESG საწყისი შეფასებისა და ხარვეზების ანალიზის ანგარიში;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ESG ჩარჩო და დანერგვის 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გზამკვლევი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პოლიტიკების, პროცედურებისა და შაბლონების პაკეტი (რედაქტირებად ფორმატში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რელევანტური კომპანიისათვის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სტანდარტის შესაბამისად მომზადებული მდგრადობის ანგარიში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საბოლოო საკონსულტაციო მემორანდუმი ESG-ის მომდევნო განვითარების ეტაპების რეკომენდაციებით;</w:t>
      </w:r>
    </w:p>
    <w:p w:rsidR="00424648" w:rsidRP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 აირების საწყისი მიმოხილვა და ბაზისური შეჯამება;</w:t>
      </w:r>
    </w:p>
    <w:p w:rsidR="00424648" w:rsidRDefault="00424648" w:rsidP="00E101D1">
      <w:pPr>
        <w:numPr>
          <w:ilvl w:val="0"/>
          <w:numId w:val="9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სათბური</w:t>
      </w:r>
      <w:r w:rsidR="00D279D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424648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აირების მონიტორინგის მარტივი მიდგომა და შაბლონები.</w:t>
      </w:r>
    </w:p>
    <w:p w:rsidR="00AE63D2" w:rsidRDefault="0001437C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Times New Roman"/>
        </w:rPr>
        <w:pict>
          <v:rect id="_x0000_i1029" style="width:468pt;height:1.8pt" o:hralign="center" o:hrstd="t" o:hr="t" fillcolor="#a0a0a0" stroked="f"/>
        </w:pict>
      </w:r>
    </w:p>
    <w:p w:rsidR="00AE63D2" w:rsidRPr="00AE63D2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5.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პროექტის განხორციელება</w:t>
      </w:r>
    </w:p>
    <w:p w:rsidR="00AE63D2" w:rsidRPr="00AE63D2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დავალება უნდა განხორციელდეს ეტაპობრივად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. </w:t>
      </w: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საწყის ეტაპზე უპირატესობა მიენიჭება კონსულტანტებს, რომლებიც წარმოადგენენ:</w:t>
      </w:r>
    </w:p>
    <w:p w:rsidR="00AE63D2" w:rsidRP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ეტაპობრივ დანერგვის გეგმას;</w:t>
      </w:r>
    </w:p>
    <w:p w:rsidR="00AE63D2" w:rsidRP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სამთო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-მოპოვებითი</w:t>
      </w: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სექტორისთვის რელევანტურ პრაქტიკულ გადაწყვეტილებებს;</w:t>
      </w:r>
    </w:p>
    <w:p w:rsidR="00AE63D2" w:rsidRDefault="00AE63D2" w:rsidP="00AE63D2">
      <w:pPr>
        <w:numPr>
          <w:ilvl w:val="0"/>
          <w:numId w:val="10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AE63D2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მკაფიო გამიჯვნას მინიმალურ შესაბამისობასა და სამომავლო გაუმჯობესებებს შორის.</w:t>
      </w:r>
    </w:p>
    <w:p w:rsidR="00AE63D2" w:rsidRDefault="0001437C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>
          <v:rect id="_x0000_i1030" style="width:468pt;height:1.8pt" o:hralign="center" o:hrstd="t" o:hr="t" fillcolor="#a0a0a0" stroked="f"/>
        </w:pic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6. </w:t>
      </w:r>
      <w:r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პროექტის</w:t>
      </w: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 ხანგრძლივობა</w: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საკონსულტაციო მომსახურების სავარაუდო ხანგრძლივობაა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განისაზღვრება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5-დან 8 თვემდე, შემოთავაზებული მეთოდოლოგიისა და შეთანხმებული სამუშაო გეგმის მიხედვით.</w:t>
      </w:r>
    </w:p>
    <w:p w:rsidR="00657D55" w:rsidRPr="00657D55" w:rsidRDefault="0001437C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pict>
          <v:rect id="_x0000_i1031" style="width:0;height:1.5pt" o:hralign="center" o:hrstd="t" o:hr="t" fillcolor="#a0a0a0" stroked="f"/>
        </w:pic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7. კონსულტანტის კვალიფიკაცია</w:t>
      </w:r>
    </w:p>
    <w:p w:rsidR="00657D55" w:rsidRPr="00657D55" w:rsidRDefault="00657D55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/კომპანიამ 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უნდა წარმოადგინოს:</w:t>
      </w:r>
    </w:p>
    <w:p w:rsid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ESG საკონსულტაციო მომსახურებისა და ანგარიშგების სფეროში დადასტურებული გამოცდილება;</w:t>
      </w:r>
    </w:p>
    <w:p w:rsidR="00657D55" w:rsidRPr="0016380C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გამოცდილება სამთო, მოპოვებით ან მძიმე ინდუსტრიის სექტორში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(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ჩაითვლება 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უპირატესობა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</w:t>
      </w:r>
      <w:r w:rsidR="00F532CC"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Pr="0016380C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657D55" w:rsidRP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განვითარებად ბაზრებსა ან გარდამავალ ეკონომიკებში მუშაობის გამოცდილება (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ჩაითვლება 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უპირატესობა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</w:t>
      </w: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);</w:t>
      </w:r>
    </w:p>
    <w:p w:rsidR="00657D55" w:rsidRPr="00657D55" w:rsidRDefault="00657D55" w:rsidP="00657D55">
      <w:pPr>
        <w:numPr>
          <w:ilvl w:val="0"/>
          <w:numId w:val="11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კვალიფიციური ESG და მდგრადობის ანგარიშგების ექსპერტების ხელმისაწვდომობ</w:t>
      </w:r>
      <w:r w:rsidR="006E6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შესაძლებლობა</w:t>
      </w:r>
      <w:r w:rsidR="003B6CF3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</w:p>
    <w:p w:rsidR="00657D55" w:rsidRPr="00657D55" w:rsidRDefault="0001437C" w:rsidP="00657D55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pict>
          <v:rect id="_x0000_i1032" style="width:0;height:1.5pt" o:hralign="center" o:hrstd="t" o:hr="t" fillcolor="#a0a0a0" stroked="f"/>
        </w:pic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8. წინადადების წარდგენის მოთხოვნები</w: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დაინტერესებულმა კონსულტანტებმა უნდა წარმოადგინონ:</w:t>
      </w:r>
    </w:p>
    <w:p w:rsidR="00657D55" w:rsidRPr="00657D55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ტექნიკური წინადადება</w:t>
      </w:r>
    </w:p>
    <w:p w:rsidR="00657D55" w:rsidRPr="00657D55" w:rsidRDefault="00657D55" w:rsidP="0016380C">
      <w:pPr>
        <w:numPr>
          <w:ilvl w:val="0"/>
          <w:numId w:val="12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შემოთავაზებული მეთოდოლოგია და სამუშაო გეგმა;</w:t>
      </w:r>
    </w:p>
    <w:p w:rsidR="00657D55" w:rsidRDefault="00657D55" w:rsidP="002F679B">
      <w:pPr>
        <w:numPr>
          <w:ilvl w:val="0"/>
          <w:numId w:val="12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გუნდის შემადგენლობა და ძირითადი ექსპერტების CV-ები</w:t>
      </w:r>
      <w:r w:rsid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</w:t>
      </w:r>
      <w:r w:rsidRP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 გამოცდილება</w:t>
      </w:r>
      <w:r w:rsidR="002F679B" w:rsidRPr="002F679B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:rsidR="00C473F3" w:rsidRPr="00C473F3" w:rsidRDefault="00657D55" w:rsidP="0016380C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657D55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ფინანსური წინადადება</w:t>
      </w:r>
    </w:p>
    <w:p w:rsidR="00C473F3" w:rsidRPr="001D3A41" w:rsidRDefault="00C473F3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კონსულტანტმა უნდა წარმოადგინოს ვადების გეგმა-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რაფიკი მკაფიოდ განსაზღვრული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</w:rPr>
        <w:t xml:space="preserve"> </w:t>
      </w:r>
      <w:r w:rsidR="002C18F0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ეტაპების</w:t>
      </w:r>
      <w:r w:rsidR="002F679B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 და წარმოსადგენი პროდუქტების 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(deliverables)</w:t>
      </w:r>
      <w:r w:rsidR="00B66422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მიხედვით</w:t>
      </w:r>
      <w:r w:rsidR="003B6CF3">
        <w:rPr>
          <w:rFonts w:ascii="Sylfaen" w:eastAsia="Times New Roman" w:hAnsi="Sylfaen" w:cs="Sylfaen"/>
          <w:bCs/>
          <w:kern w:val="36"/>
          <w:sz w:val="24"/>
          <w:szCs w:val="24"/>
        </w:rPr>
        <w:t>;</w:t>
      </w:r>
    </w:p>
    <w:p w:rsidR="00657D55" w:rsidRPr="001D3A41" w:rsidRDefault="00657D55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ხარჯების დეტალური გაწერა საქმიანობებისა დ</w:t>
      </w:r>
      <w:r w:rsidR="00C85F4A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2F679B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წარმოსადგენი პროდუქტების </w:t>
      </w:r>
      <w:r w:rsidR="00C85F4A"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(</w:t>
      </w:r>
      <w:r w:rsidRPr="001D3A41">
        <w:rPr>
          <w:rFonts w:ascii="Sylfaen" w:eastAsia="Times New Roman" w:hAnsi="Sylfaen" w:cs="Times New Roman"/>
        </w:rPr>
        <w:t>deliverables</w:t>
      </w:r>
      <w:r w:rsidRPr="001D3A41">
        <w:rPr>
          <w:rFonts w:ascii="Sylfaen" w:eastAsia="Times New Roman" w:hAnsi="Sylfaen" w:cs="Times New Roman"/>
          <w:lang w:val="ka-GE"/>
        </w:rPr>
        <w:t>)</w:t>
      </w: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მიხედვით;</w:t>
      </w:r>
    </w:p>
    <w:p w:rsidR="00657D55" w:rsidRPr="001D3A41" w:rsidRDefault="00657D55" w:rsidP="0016380C">
      <w:pPr>
        <w:pStyle w:val="ListParagraph"/>
        <w:numPr>
          <w:ilvl w:val="0"/>
          <w:numId w:val="15"/>
        </w:num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1D3A41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შემოთავაზებული გადახდის გრაფიკი</w:t>
      </w:r>
      <w:r w:rsidR="00C82437" w:rsidRPr="001D3A41">
        <w:rPr>
          <w:rFonts w:ascii="Sylfaen" w:eastAsia="Times New Roman" w:hAnsi="Sylfaen" w:cs="Sylfaen"/>
          <w:bCs/>
          <w:kern w:val="36"/>
          <w:sz w:val="24"/>
          <w:szCs w:val="24"/>
        </w:rPr>
        <w:t>.</w:t>
      </w:r>
    </w:p>
    <w:p w:rsidR="00AE63D2" w:rsidRPr="00657D55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AE63D2" w:rsidRPr="00424648" w:rsidRDefault="00AE63D2" w:rsidP="00AE63D2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424648" w:rsidRPr="00424648" w:rsidRDefault="00424648" w:rsidP="00424648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8707D6" w:rsidRPr="008707D6" w:rsidRDefault="008707D6" w:rsidP="008707D6">
      <w:pPr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0F3D65" w:rsidRPr="008707D6" w:rsidRDefault="000F3D65" w:rsidP="000F3D65">
      <w:pPr>
        <w:tabs>
          <w:tab w:val="num" w:pos="720"/>
        </w:tabs>
        <w:spacing w:before="120" w:after="12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:rsidR="00D13B7A" w:rsidRPr="00D13B7A" w:rsidRDefault="00D13B7A" w:rsidP="00D13B7A">
      <w:pPr>
        <w:spacing w:before="120" w:after="120" w:line="240" w:lineRule="auto"/>
        <w:jc w:val="both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917B64" w:rsidRDefault="00917B64" w:rsidP="00D13B7A">
      <w:pPr>
        <w:spacing w:before="120" w:after="120" w:line="240" w:lineRule="auto"/>
        <w:jc w:val="both"/>
      </w:pPr>
    </w:p>
    <w:sectPr w:rsidR="00917B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7C" w:rsidRDefault="0001437C" w:rsidP="0094322C">
      <w:pPr>
        <w:spacing w:after="0" w:line="240" w:lineRule="auto"/>
      </w:pPr>
      <w:r>
        <w:separator/>
      </w:r>
    </w:p>
  </w:endnote>
  <w:endnote w:type="continuationSeparator" w:id="0">
    <w:p w:rsidR="0001437C" w:rsidRDefault="0001437C" w:rsidP="0094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  <w:b/>
        <w:sz w:val="20"/>
        <w:szCs w:val="20"/>
      </w:rPr>
      <w:id w:val="1687255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22C" w:rsidRPr="0094322C" w:rsidRDefault="0094322C">
        <w:pPr>
          <w:pStyle w:val="Footer"/>
          <w:jc w:val="right"/>
          <w:rPr>
            <w:rFonts w:ascii="Sylfaen" w:hAnsi="Sylfaen"/>
            <w:b/>
            <w:sz w:val="20"/>
            <w:szCs w:val="20"/>
          </w:rPr>
        </w:pPr>
        <w:r w:rsidRPr="0094322C">
          <w:rPr>
            <w:rFonts w:ascii="Sylfaen" w:hAnsi="Sylfaen"/>
            <w:b/>
            <w:sz w:val="20"/>
            <w:szCs w:val="20"/>
          </w:rPr>
          <w:fldChar w:fldCharType="begin"/>
        </w:r>
        <w:r w:rsidRPr="0094322C">
          <w:rPr>
            <w:rFonts w:ascii="Sylfaen" w:hAnsi="Sylfaen"/>
            <w:b/>
            <w:sz w:val="20"/>
            <w:szCs w:val="20"/>
          </w:rPr>
          <w:instrText xml:space="preserve"> PAGE   \* MERGEFORMAT </w:instrText>
        </w:r>
        <w:r w:rsidRPr="0094322C">
          <w:rPr>
            <w:rFonts w:ascii="Sylfaen" w:hAnsi="Sylfaen"/>
            <w:b/>
            <w:sz w:val="20"/>
            <w:szCs w:val="20"/>
          </w:rPr>
          <w:fldChar w:fldCharType="separate"/>
        </w:r>
        <w:r w:rsidRPr="0094322C">
          <w:rPr>
            <w:rFonts w:ascii="Sylfaen" w:hAnsi="Sylfaen"/>
            <w:b/>
            <w:noProof/>
            <w:sz w:val="20"/>
            <w:szCs w:val="20"/>
          </w:rPr>
          <w:t>2</w:t>
        </w:r>
        <w:r w:rsidRPr="0094322C">
          <w:rPr>
            <w:rFonts w:ascii="Sylfaen" w:hAnsi="Sylfaen"/>
            <w:b/>
            <w:noProof/>
            <w:sz w:val="20"/>
            <w:szCs w:val="20"/>
          </w:rPr>
          <w:fldChar w:fldCharType="end"/>
        </w:r>
      </w:p>
    </w:sdtContent>
  </w:sdt>
  <w:p w:rsidR="0094322C" w:rsidRDefault="00943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7C" w:rsidRDefault="0001437C" w:rsidP="0094322C">
      <w:pPr>
        <w:spacing w:after="0" w:line="240" w:lineRule="auto"/>
      </w:pPr>
      <w:r>
        <w:separator/>
      </w:r>
    </w:p>
  </w:footnote>
  <w:footnote w:type="continuationSeparator" w:id="0">
    <w:p w:rsidR="0001437C" w:rsidRDefault="0001437C" w:rsidP="0094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0CB"/>
    <w:multiLevelType w:val="multilevel"/>
    <w:tmpl w:val="601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E6E2E"/>
    <w:multiLevelType w:val="hybridMultilevel"/>
    <w:tmpl w:val="3390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CC2"/>
    <w:multiLevelType w:val="multilevel"/>
    <w:tmpl w:val="9BE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3EF1"/>
    <w:multiLevelType w:val="hybridMultilevel"/>
    <w:tmpl w:val="A650E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4770"/>
    <w:multiLevelType w:val="multilevel"/>
    <w:tmpl w:val="B05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81A0F"/>
    <w:multiLevelType w:val="multilevel"/>
    <w:tmpl w:val="F2C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E4E52"/>
    <w:multiLevelType w:val="multilevel"/>
    <w:tmpl w:val="7A3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D6615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26623"/>
    <w:multiLevelType w:val="multilevel"/>
    <w:tmpl w:val="37FC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87D30"/>
    <w:multiLevelType w:val="multilevel"/>
    <w:tmpl w:val="C1D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A3CA6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B082D"/>
    <w:multiLevelType w:val="multilevel"/>
    <w:tmpl w:val="BF8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577CD"/>
    <w:multiLevelType w:val="multilevel"/>
    <w:tmpl w:val="692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04722"/>
    <w:multiLevelType w:val="multilevel"/>
    <w:tmpl w:val="D5A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F1240"/>
    <w:multiLevelType w:val="multilevel"/>
    <w:tmpl w:val="89E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7A"/>
    <w:rsid w:val="0001437C"/>
    <w:rsid w:val="00017CF2"/>
    <w:rsid w:val="00072928"/>
    <w:rsid w:val="000F3D65"/>
    <w:rsid w:val="00117D42"/>
    <w:rsid w:val="00156024"/>
    <w:rsid w:val="0016380C"/>
    <w:rsid w:val="001951F5"/>
    <w:rsid w:val="001D3A41"/>
    <w:rsid w:val="001E148F"/>
    <w:rsid w:val="00272A1C"/>
    <w:rsid w:val="0029562B"/>
    <w:rsid w:val="002A57AE"/>
    <w:rsid w:val="002C18F0"/>
    <w:rsid w:val="002F1BAC"/>
    <w:rsid w:val="002F679B"/>
    <w:rsid w:val="0037360C"/>
    <w:rsid w:val="003B6CF3"/>
    <w:rsid w:val="003E0FFD"/>
    <w:rsid w:val="003F096A"/>
    <w:rsid w:val="00424648"/>
    <w:rsid w:val="00457EA1"/>
    <w:rsid w:val="00493B9B"/>
    <w:rsid w:val="004A377A"/>
    <w:rsid w:val="004A431F"/>
    <w:rsid w:val="004D288A"/>
    <w:rsid w:val="004E4955"/>
    <w:rsid w:val="00556D0D"/>
    <w:rsid w:val="005C50D8"/>
    <w:rsid w:val="00657D55"/>
    <w:rsid w:val="006609D3"/>
    <w:rsid w:val="00661CC7"/>
    <w:rsid w:val="0068327E"/>
    <w:rsid w:val="006B2F07"/>
    <w:rsid w:val="006E61C5"/>
    <w:rsid w:val="00722D65"/>
    <w:rsid w:val="00754779"/>
    <w:rsid w:val="00770769"/>
    <w:rsid w:val="00781764"/>
    <w:rsid w:val="0079159A"/>
    <w:rsid w:val="007A37DB"/>
    <w:rsid w:val="007D04A9"/>
    <w:rsid w:val="008707D6"/>
    <w:rsid w:val="008E3F66"/>
    <w:rsid w:val="00917B64"/>
    <w:rsid w:val="0094322C"/>
    <w:rsid w:val="00955DA6"/>
    <w:rsid w:val="009811B8"/>
    <w:rsid w:val="009C29A4"/>
    <w:rsid w:val="009E347E"/>
    <w:rsid w:val="009F5D26"/>
    <w:rsid w:val="00A10AAF"/>
    <w:rsid w:val="00A32427"/>
    <w:rsid w:val="00A363DC"/>
    <w:rsid w:val="00A37901"/>
    <w:rsid w:val="00AE63D2"/>
    <w:rsid w:val="00B23E4D"/>
    <w:rsid w:val="00B36364"/>
    <w:rsid w:val="00B66422"/>
    <w:rsid w:val="00BB73F2"/>
    <w:rsid w:val="00C07965"/>
    <w:rsid w:val="00C473F3"/>
    <w:rsid w:val="00C82437"/>
    <w:rsid w:val="00C85F4A"/>
    <w:rsid w:val="00CC61C0"/>
    <w:rsid w:val="00CF25D9"/>
    <w:rsid w:val="00D13B7A"/>
    <w:rsid w:val="00D16191"/>
    <w:rsid w:val="00D279D5"/>
    <w:rsid w:val="00D84E92"/>
    <w:rsid w:val="00DC1DBD"/>
    <w:rsid w:val="00DF256E"/>
    <w:rsid w:val="00E101D1"/>
    <w:rsid w:val="00E61B9F"/>
    <w:rsid w:val="00EA4BCF"/>
    <w:rsid w:val="00EB6CE4"/>
    <w:rsid w:val="00ED2092"/>
    <w:rsid w:val="00F35C8B"/>
    <w:rsid w:val="00F532CC"/>
    <w:rsid w:val="00F61398"/>
    <w:rsid w:val="00F9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1FB4"/>
  <w15:chartTrackingRefBased/>
  <w15:docId w15:val="{AF3E8F8D-6054-40FA-8857-67BA396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3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3B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B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3B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D6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2C"/>
  </w:style>
  <w:style w:type="paragraph" w:styleId="Footer">
    <w:name w:val="footer"/>
    <w:basedOn w:val="Normal"/>
    <w:link w:val="FooterChar"/>
    <w:uiPriority w:val="99"/>
    <w:unhideWhenUsed/>
    <w:rsid w:val="0094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Tatuli Kvaratskhelia</dc:creator>
  <cp:keywords/>
  <dc:description/>
  <cp:lastModifiedBy>Mikheil Kvaratskhelia</cp:lastModifiedBy>
  <cp:revision>57</cp:revision>
  <dcterms:created xsi:type="dcterms:W3CDTF">2026-02-19T13:42:00Z</dcterms:created>
  <dcterms:modified xsi:type="dcterms:W3CDTF">2026-03-02T09:24:00Z</dcterms:modified>
</cp:coreProperties>
</file>