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B7A" w:rsidRPr="00D13B7A" w:rsidRDefault="00D13B7A" w:rsidP="00A363DC">
      <w:pPr>
        <w:spacing w:before="120" w:after="120" w:line="240" w:lineRule="auto"/>
        <w:jc w:val="center"/>
        <w:outlineLvl w:val="0"/>
        <w:rPr>
          <w:rFonts w:ascii="Sylfaen" w:eastAsia="Times New Roman" w:hAnsi="Sylfaen" w:cs="Times New Roman"/>
          <w:b/>
          <w:bCs/>
          <w:kern w:val="36"/>
          <w:sz w:val="24"/>
          <w:szCs w:val="24"/>
          <w:lang w:val="ka-GE"/>
        </w:rPr>
      </w:pPr>
      <w:r w:rsidRPr="00D13B7A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ტექნიკური</w:t>
      </w:r>
      <w:r w:rsidRPr="00D13B7A">
        <w:rPr>
          <w:rFonts w:ascii="Sylfaen" w:eastAsia="Times New Roman" w:hAnsi="Sylfaen" w:cs="Times New Roman"/>
          <w:b/>
          <w:bCs/>
          <w:kern w:val="36"/>
          <w:sz w:val="24"/>
          <w:szCs w:val="24"/>
          <w:lang w:val="ka-GE"/>
        </w:rPr>
        <w:t xml:space="preserve"> </w:t>
      </w:r>
      <w:r w:rsidRPr="00D13B7A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წინადადება</w:t>
      </w:r>
      <w:r w:rsidRPr="00D13B7A">
        <w:rPr>
          <w:rFonts w:ascii="Sylfaen" w:eastAsia="Times New Roman" w:hAnsi="Sylfaen" w:cs="Times New Roman"/>
          <w:b/>
          <w:bCs/>
          <w:kern w:val="36"/>
          <w:sz w:val="24"/>
          <w:szCs w:val="24"/>
          <w:lang w:val="ka-GE"/>
        </w:rPr>
        <w:t xml:space="preserve"> (</w:t>
      </w:r>
      <w:r w:rsidRPr="00D13B7A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ტექნიკური</w:t>
      </w:r>
      <w:r w:rsidRPr="00D13B7A">
        <w:rPr>
          <w:rFonts w:ascii="Sylfaen" w:eastAsia="Times New Roman" w:hAnsi="Sylfaen" w:cs="Times New Roman"/>
          <w:b/>
          <w:bCs/>
          <w:kern w:val="36"/>
          <w:sz w:val="24"/>
          <w:szCs w:val="24"/>
          <w:lang w:val="ka-GE"/>
        </w:rPr>
        <w:t xml:space="preserve"> </w:t>
      </w:r>
      <w:r w:rsidRPr="00D13B7A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დავალება</w:t>
      </w:r>
      <w:r w:rsidRPr="00D13B7A">
        <w:rPr>
          <w:rFonts w:ascii="Sylfaen" w:eastAsia="Times New Roman" w:hAnsi="Sylfaen" w:cs="Times New Roman"/>
          <w:b/>
          <w:bCs/>
          <w:kern w:val="36"/>
          <w:sz w:val="24"/>
          <w:szCs w:val="24"/>
          <w:lang w:val="ka-GE"/>
        </w:rPr>
        <w:t>)</w:t>
      </w:r>
    </w:p>
    <w:p w:rsidR="00D13B7A" w:rsidRDefault="00D13B7A" w:rsidP="00A363DC">
      <w:pPr>
        <w:spacing w:before="120" w:after="120" w:line="240" w:lineRule="auto"/>
        <w:jc w:val="center"/>
        <w:outlineLvl w:val="1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D13B7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საკონსულტაციო</w:t>
      </w:r>
      <w:r w:rsidRPr="00D13B7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D13B7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მომსახურება</w:t>
      </w:r>
      <w:r w:rsidRPr="00D13B7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გარემოსდაცვითი, სოციალური და მმართველობითი (ESG) </w:t>
      </w:r>
      <w:r w:rsidRPr="00D13B7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ჩარჩოს</w:t>
      </w:r>
      <w:r w:rsidRPr="00D13B7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D13B7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შემუშავებისა</w:t>
      </w:r>
      <w:r w:rsidRPr="00D13B7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D13B7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</w:t>
      </w:r>
      <w:r w:rsidRPr="00D13B7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GRI </w:t>
      </w:r>
      <w:r w:rsidRPr="00D13B7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სტანდარტებზე</w:t>
      </w:r>
      <w:r w:rsidR="00A363D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 </w:t>
      </w:r>
      <w:r w:rsidR="00A363DC" w:rsidRPr="00A363DC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(მსგავს სტანდარტ(ებ)</w:t>
      </w:r>
      <w:r w:rsidR="00A363DC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ზე</w:t>
      </w:r>
      <w:r w:rsidR="00A363DC" w:rsidRPr="00A363DC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)</w:t>
      </w:r>
      <w:r w:rsidRPr="00D13B7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D13B7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დაფუძნებული</w:t>
      </w:r>
      <w:r w:rsidRPr="00D13B7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D13B7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მდგრადობის</w:t>
      </w:r>
      <w:r w:rsidRPr="00D13B7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D13B7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ანგარიშგებისათვის</w:t>
      </w:r>
    </w:p>
    <w:p w:rsidR="00D13B7A" w:rsidRPr="00D13B7A" w:rsidRDefault="00F02B90" w:rsidP="00D13B7A">
      <w:pPr>
        <w:spacing w:after="0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>
          <v:rect id="_x0000_i1025" style="width:468pt;height:1.8pt" o:hralign="center" o:hrstd="t" o:hr="t" fillcolor="#a0a0a0" stroked="f"/>
        </w:pict>
      </w:r>
    </w:p>
    <w:p w:rsidR="00D13B7A" w:rsidRPr="00D13B7A" w:rsidRDefault="00D13B7A" w:rsidP="00D13B7A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D13B7A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1. ფონი და კონტექსტი</w:t>
      </w:r>
    </w:p>
    <w:p w:rsidR="00A363DC" w:rsidRDefault="00D13B7A" w:rsidP="00D13B7A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RMG წარმოადგენს კომპანიათა ჯგუფს, რომელიც საქმიანობს სამთო-მოპოვებითი და </w:t>
      </w:r>
      <w:r>
        <w:rPr>
          <w:rFonts w:ascii="Sylfaen" w:eastAsia="Times New Roman" w:hAnsi="Sylfaen" w:cs="Sylfaen"/>
          <w:bCs/>
          <w:kern w:val="36"/>
          <w:sz w:val="24"/>
          <w:szCs w:val="24"/>
        </w:rPr>
        <w:t xml:space="preserve"> </w:t>
      </w: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გადამამუშავებელი საქმიანობის სფეროში და ოპერირებს საქართველოში, ქვემო ქართლის რეგიონში. </w:t>
      </w:r>
    </w:p>
    <w:p w:rsidR="00D13B7A" w:rsidRPr="00D13B7A" w:rsidRDefault="00D13B7A" w:rsidP="00D13B7A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კომპანია აცნობიერებს გარემოსდაცვითი, სოციალური და მმართველობითი (ESG) პრინციპების ინტეგრირების მნიშვნელობას თავის საქმიანობაში, რათა უზრუნველყოს გრძელვადიანი მდგრადობა, რესურსების პასუხისმგებლიანი მართვა და დაინტერესებული მხარეების მიმართ გამჭვირვალობა.</w:t>
      </w:r>
    </w:p>
    <w:p w:rsidR="00D13B7A" w:rsidRPr="0068327E" w:rsidRDefault="00D13B7A" w:rsidP="00D13B7A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ამჟამად კომპანიას არ გააჩნია 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ოფიციალური</w:t>
      </w: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ESG ჩარჩო ან მდგრადობის ანგარიშგების სისტემა. საწყის ეტაპზე კომპანია გეგმავს დანერგოს  პრაქტიკული ESG სისტემა, რომელიც შესაბამისობაში იქნება საერთაშორისო აღიარებულ სტანდარტებთან, და მოამზადოს </w:t>
      </w:r>
      <w:r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თავისი პირველი მდგრადობის ანგარიში Global Reporting Initiative (GRI) სტანდარტ</w:t>
      </w:r>
      <w:r w:rsidR="008F5349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ის შესაბამისად</w:t>
      </w:r>
      <w:r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ან </w:t>
      </w:r>
      <w:r w:rsidR="008F5349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აღნიშნულ სტანდარტზე მითითებით (გათვალისწინებით). კომპანია აგრეთვე განიხილავს </w:t>
      </w:r>
      <w:r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კონსულტანტის მიერ შეთავაზებული და დასაბუთებული მსგავსი სტანდარტ</w:t>
      </w:r>
      <w:r w:rsidR="00A363DC"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(</w:t>
      </w:r>
      <w:r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ებ</w:t>
      </w:r>
      <w:r w:rsidR="00A363DC"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</w:t>
      </w:r>
      <w:r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ის</w:t>
      </w:r>
      <w:r w:rsidR="00781764"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(შემდგომში „სტანდარტი“)</w:t>
      </w:r>
      <w:r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="008F5349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გამოყენების შესაძლებლობას. </w:t>
      </w:r>
    </w:p>
    <w:p w:rsidR="00D13B7A" w:rsidRPr="00D13B7A" w:rsidRDefault="00D13B7A" w:rsidP="00D13B7A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ESG-ის დანერგვისა და </w:t>
      </w:r>
      <w:r w:rsidR="00781764"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სტანდარტის შესაბამისი</w:t>
      </w:r>
      <w:r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ანგარიშგების საწყის ეტაპზე კომპანია</w:t>
      </w: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ითხოვს მხარდაჭერას კლიმატის ცვლილების საკითხებთან დაკავშირებით.</w:t>
      </w:r>
    </w:p>
    <w:p w:rsidR="00D13B7A" w:rsidRDefault="00D13B7A" w:rsidP="00D13B7A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კომპანია ეძებს კვალიფიციურ ეროვნულ </w:t>
      </w:r>
      <w:r w:rsid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ან/</w:t>
      </w: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 საერთაშორისო კონსულტანტებს</w:t>
      </w:r>
      <w:r w:rsidR="00F6139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/კ</w:t>
      </w:r>
      <w:r w:rsid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ომპანიას</w:t>
      </w: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ტექნიკური დახმარების, დოკუმენტაციის მომზადებისა და შიდა შესაძლებლობების განვითარების მხარდაჭერისთვის ESG-ის</w:t>
      </w:r>
      <w:r w:rsidR="00781764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საწყის ეტაპზე დანერგვის ფარგლებში.</w:t>
      </w:r>
    </w:p>
    <w:p w:rsidR="000F3D65" w:rsidRPr="000F3D65" w:rsidRDefault="00F02B90" w:rsidP="000F3D65">
      <w:pPr>
        <w:spacing w:after="0"/>
        <w:jc w:val="center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>
          <v:rect id="_x0000_i1026" style="width:468pt;height:1.8pt" o:hralign="center" o:hrstd="t" o:hr="t" fillcolor="#a0a0a0" stroked="f"/>
        </w:pict>
      </w:r>
    </w:p>
    <w:p w:rsidR="000F3D65" w:rsidRPr="000F3D65" w:rsidRDefault="000F3D65" w:rsidP="000F3D65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0F3D6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2. დავალების მიზნები</w:t>
      </w:r>
    </w:p>
    <w:p w:rsidR="000F3D65" w:rsidRPr="000F3D65" w:rsidRDefault="000F3D65" w:rsidP="000F3D65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F3D6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კონსულტაციის ძირითადი მიზნებია:</w:t>
      </w:r>
    </w:p>
    <w:p w:rsidR="000F3D65" w:rsidRPr="000F3D65" w:rsidRDefault="000F3D65" w:rsidP="000F3D65">
      <w:pPr>
        <w:pStyle w:val="ListParagraph"/>
        <w:numPr>
          <w:ilvl w:val="0"/>
          <w:numId w:val="3"/>
        </w:num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F3D6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კომპანიისთვის შესაფერისი, მარტივი და პრაქტიკული ESG ჩარჩოს ჩამოყალიბება;</w:t>
      </w:r>
    </w:p>
    <w:p w:rsidR="000F3D65" w:rsidRPr="00722D65" w:rsidRDefault="000F3D65" w:rsidP="000F3D65">
      <w:pPr>
        <w:pStyle w:val="ListParagraph"/>
        <w:numPr>
          <w:ilvl w:val="0"/>
          <w:numId w:val="3"/>
        </w:num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722D6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კომპანიის მდგრადობის პრაქტიკებისა და გამჟღავნებ</w:t>
      </w:r>
      <w:r w:rsidR="00D84E92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</w:t>
      </w:r>
      <w:r w:rsidRPr="00722D6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 სტანდარტ</w:t>
      </w:r>
      <w:r w:rsidR="0029562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თა</w:t>
      </w:r>
      <w:r w:rsidRPr="00722D6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ნ შესაბამისობაში მოყვანა;</w:t>
      </w:r>
    </w:p>
    <w:p w:rsidR="000F3D65" w:rsidRPr="000F3D65" w:rsidRDefault="000F3D65" w:rsidP="000F3D65">
      <w:pPr>
        <w:pStyle w:val="ListParagraph"/>
        <w:numPr>
          <w:ilvl w:val="0"/>
          <w:numId w:val="3"/>
        </w:num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F3D6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ESG-ის დანერგვისათვის საჭირო მოდელური პოლიტიკების, პროცედურებისა და შაბლონების შემუშავება;</w:t>
      </w:r>
    </w:p>
    <w:p w:rsidR="000F3D65" w:rsidRPr="000F3D65" w:rsidRDefault="000F3D65" w:rsidP="000F3D65">
      <w:pPr>
        <w:pStyle w:val="ListParagraph"/>
        <w:numPr>
          <w:ilvl w:val="0"/>
          <w:numId w:val="3"/>
        </w:num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F3D6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lastRenderedPageBreak/>
        <w:t>კომპანიის შიდა შესაძლებლობების გაძლიერება ESG მონაცემების მუდმივი მართვისა და ანგარიშგებისათვის;</w:t>
      </w:r>
    </w:p>
    <w:p w:rsidR="000F3D65" w:rsidRPr="007A37DB" w:rsidRDefault="000F3D65" w:rsidP="000F3D65">
      <w:pPr>
        <w:pStyle w:val="ListParagraph"/>
        <w:numPr>
          <w:ilvl w:val="0"/>
          <w:numId w:val="3"/>
        </w:num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7A37D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კომპანიის პირველი </w:t>
      </w:r>
      <w:r w:rsidR="007A37DB" w:rsidRPr="007A37D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სტანდარტზე</w:t>
      </w:r>
      <w:r w:rsidR="00ED2092" w:rsidRPr="007A37D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Pr="007A37D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დაფუძნებული მდგრადობის ანგარიშის მომზადება;</w:t>
      </w:r>
    </w:p>
    <w:p w:rsidR="000F3D65" w:rsidRPr="007A37DB" w:rsidRDefault="000F3D65" w:rsidP="00FA47F7">
      <w:pPr>
        <w:pStyle w:val="ListParagraph"/>
        <w:numPr>
          <w:ilvl w:val="0"/>
          <w:numId w:val="3"/>
        </w:num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Times New Roman"/>
        </w:rPr>
      </w:pPr>
      <w:r w:rsidRPr="007A37D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კლიმატის ცვლილებისა და სათბურის აირების (GHG) საკითხების საბაზისო ინტეგრირება</w:t>
      </w:r>
      <w:r w:rsidR="008E3F66">
        <w:rPr>
          <w:rFonts w:ascii="Sylfaen" w:eastAsia="Times New Roman" w:hAnsi="Sylfaen" w:cs="Sylfaen"/>
          <w:bCs/>
          <w:kern w:val="36"/>
          <w:sz w:val="24"/>
          <w:szCs w:val="24"/>
        </w:rPr>
        <w:t>.</w:t>
      </w:r>
      <w:r w:rsidRPr="007A37D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="00F02B90">
        <w:rPr>
          <w:rFonts w:ascii="Sylfaen" w:eastAsia="Times New Roman" w:hAnsi="Sylfaen" w:cs="Times New Roman"/>
        </w:rPr>
        <w:pict>
          <v:rect id="_x0000_i1027" style="width:468pt;height:1.8pt" o:hralign="center" o:hrstd="t" o:hr="t" fillcolor="#a0a0a0" stroked="f"/>
        </w:pict>
      </w:r>
    </w:p>
    <w:p w:rsidR="008707D6" w:rsidRPr="00CF25D9" w:rsidRDefault="008707D6" w:rsidP="008707D6">
      <w:p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3. </w:t>
      </w:r>
      <w:r w:rsidRPr="007A37DB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მომსახურების </w:t>
      </w:r>
      <w:r w:rsidR="00CF25D9" w:rsidRPr="007A37DB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სა</w:t>
      </w:r>
      <w:r w:rsidR="00EA4BCF" w:rsidRPr="007A37DB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განი</w:t>
      </w:r>
    </w:p>
    <w:p w:rsidR="008707D6" w:rsidRPr="008707D6" w:rsidRDefault="008707D6" w:rsidP="008707D6">
      <w:p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კონსულტანტმა უნდა უზრუნველყოს შემდეგი მომსახურებები:</w:t>
      </w:r>
    </w:p>
    <w:p w:rsidR="008707D6" w:rsidRPr="008707D6" w:rsidRDefault="008707D6" w:rsidP="008707D6">
      <w:p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3.1 </w:t>
      </w:r>
      <w:r w:rsidR="007A37DB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არსებული </w:t>
      </w:r>
      <w:r w:rsidRPr="008707D6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ESG </w:t>
      </w:r>
      <w:r w:rsidR="002F1BAC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საკითხების</w:t>
      </w:r>
      <w:r w:rsidR="007A37DB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 </w:t>
      </w:r>
      <w:r w:rsidRPr="008707D6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შეფასება</w:t>
      </w:r>
    </w:p>
    <w:p w:rsidR="008707D6" w:rsidRPr="008707D6" w:rsidRDefault="008707D6" w:rsidP="008707D6">
      <w:pPr>
        <w:numPr>
          <w:ilvl w:val="0"/>
          <w:numId w:val="4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კომპანიაში </w:t>
      </w: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არსებული პრაქტიკების, პოლიტიკებისა და მონაცემთა ხელმისაწვდომობის მიმოხილვა;</w:t>
      </w:r>
    </w:p>
    <w:p w:rsidR="008707D6" w:rsidRPr="008707D6" w:rsidRDefault="008707D6" w:rsidP="008707D6">
      <w:pPr>
        <w:numPr>
          <w:ilvl w:val="0"/>
          <w:numId w:val="4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კომპანიის ოპერაციებთან დაკავშირებული ძირითადი ESG ხარვეზებისა და პრიორიტეტული მიმართულებების იდენტიფიცირება;</w:t>
      </w:r>
    </w:p>
    <w:p w:rsidR="008707D6" w:rsidRDefault="008707D6" w:rsidP="008707D6">
      <w:pPr>
        <w:numPr>
          <w:ilvl w:val="0"/>
          <w:numId w:val="4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ESG რისკებისა და შესაძლებლობების მაღალ დონეზე </w:t>
      </w:r>
      <w:r w:rsidRPr="00F532C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(</w:t>
      </w:r>
      <w:r w:rsidR="00F532CC" w:rsidRPr="00F532C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მარტივი</w:t>
      </w:r>
      <w:r w:rsidRPr="00F532C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</w:t>
      </w: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შეფასება.</w:t>
      </w:r>
    </w:p>
    <w:p w:rsidR="008707D6" w:rsidRPr="008707D6" w:rsidRDefault="008707D6" w:rsidP="008707D6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3.2 ESG ჩარჩოს შემუშავება</w:t>
      </w:r>
    </w:p>
    <w:p w:rsidR="008707D6" w:rsidRPr="008707D6" w:rsidRDefault="008707D6" w:rsidP="008707D6">
      <w:pPr>
        <w:numPr>
          <w:ilvl w:val="0"/>
          <w:numId w:val="5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კომპანიის ზომის, სექტორისა და განვითარების ეტაპის გათვალისწინებით საბაზისო ESG ჩარჩოს დიზაინი;</w:t>
      </w:r>
    </w:p>
    <w:p w:rsidR="008707D6" w:rsidRPr="00272A1C" w:rsidRDefault="008707D6" w:rsidP="008707D6">
      <w:pPr>
        <w:numPr>
          <w:ilvl w:val="0"/>
          <w:numId w:val="5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272A1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პრიორიტეტული ESG თემების </w:t>
      </w:r>
      <w:r w:rsidR="00B23E4D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(არსებითი საკითხების</w:t>
      </w:r>
      <w:r w:rsidRPr="00272A1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</w:t>
      </w:r>
      <w:r w:rsidR="00E101D1" w:rsidRPr="00272A1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/ძირითადი შესრულების ინდიკატორების (KPI)</w:t>
      </w:r>
      <w:r w:rsidRPr="00272A1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განსაზღვრა გამარტივებული მატერიალურობის მიდგომის გამოყენებით;</w:t>
      </w:r>
      <w:r w:rsidR="003F096A" w:rsidRPr="00272A1C">
        <w:rPr>
          <w:rFonts w:ascii="Sylfaen" w:eastAsia="Times New Roman" w:hAnsi="Sylfaen" w:cs="Sylfaen"/>
          <w:bCs/>
          <w:kern w:val="36"/>
          <w:sz w:val="24"/>
          <w:szCs w:val="24"/>
        </w:rPr>
        <w:t xml:space="preserve"> </w:t>
      </w:r>
    </w:p>
    <w:p w:rsidR="008707D6" w:rsidRPr="008707D6" w:rsidRDefault="008707D6" w:rsidP="008707D6">
      <w:pPr>
        <w:numPr>
          <w:ilvl w:val="0"/>
          <w:numId w:val="5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ESG-ის დანერგვის 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გზამკვლევის </w:t>
      </w: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შემუშავება მომდევნო </w:t>
      </w:r>
      <w:r w:rsidR="004A431F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წლებისთვის. </w:t>
      </w:r>
    </w:p>
    <w:p w:rsidR="008707D6" w:rsidRPr="008707D6" w:rsidRDefault="008707D6" w:rsidP="008707D6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3.3 ESG დოკუმენტაციის შემუშავება (შაბლონები და მოდელები)</w:t>
      </w:r>
    </w:p>
    <w:p w:rsidR="008707D6" w:rsidRPr="008707D6" w:rsidRDefault="008707D6" w:rsidP="008707D6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კონსულტანტმა უნდა წარმოადგინოს მოდელური და მაგალითობრივი დოკუმენტები, მათ შორის, მაგრამ არა მხოლოდ:</w:t>
      </w:r>
    </w:p>
    <w:p w:rsidR="008707D6" w:rsidRPr="008707D6" w:rsidRDefault="008707D6" w:rsidP="008707D6">
      <w:pPr>
        <w:numPr>
          <w:ilvl w:val="0"/>
          <w:numId w:val="6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ESG პოლიტიკა;</w:t>
      </w:r>
    </w:p>
    <w:p w:rsidR="008707D6" w:rsidRPr="008707D6" w:rsidRDefault="008707D6" w:rsidP="008707D6">
      <w:pPr>
        <w:numPr>
          <w:ilvl w:val="0"/>
          <w:numId w:val="6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გარემოსდაცვითი პოლიტიკა;</w:t>
      </w:r>
    </w:p>
    <w:p w:rsidR="008707D6" w:rsidRPr="008707D6" w:rsidRDefault="008707D6" w:rsidP="008707D6">
      <w:pPr>
        <w:numPr>
          <w:ilvl w:val="0"/>
          <w:numId w:val="6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შრომის უსაფრთხოებისა და ჯანმრთელობის დაცვის პოლიტიკა;</w:t>
      </w:r>
    </w:p>
    <w:p w:rsidR="008707D6" w:rsidRPr="008707D6" w:rsidRDefault="008707D6" w:rsidP="008707D6">
      <w:pPr>
        <w:numPr>
          <w:ilvl w:val="0"/>
          <w:numId w:val="6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სოციალური პასუხისმგებლობის / ადამიანის უფლებების პოლიტიკა;</w:t>
      </w:r>
    </w:p>
    <w:p w:rsidR="008707D6" w:rsidRPr="008707D6" w:rsidRDefault="008707D6" w:rsidP="008707D6">
      <w:pPr>
        <w:numPr>
          <w:ilvl w:val="0"/>
          <w:numId w:val="6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ეთიკისა და ბიზნეს ქცევის კოდექსი;</w:t>
      </w:r>
    </w:p>
    <w:p w:rsidR="008707D6" w:rsidRPr="008707D6" w:rsidRDefault="008707D6" w:rsidP="008707D6">
      <w:pPr>
        <w:numPr>
          <w:ilvl w:val="0"/>
          <w:numId w:val="6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მმართველობისა და შესაბამისობის სახელმძღვანელო პრინციპები;</w:t>
      </w:r>
    </w:p>
    <w:p w:rsidR="008707D6" w:rsidRPr="008707D6" w:rsidRDefault="008707D6" w:rsidP="008707D6">
      <w:pPr>
        <w:numPr>
          <w:ilvl w:val="0"/>
          <w:numId w:val="6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ESG მონაცემთა შეგროვების შაბლონები </w:t>
      </w:r>
      <w:r w:rsidRPr="00F532C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 ბაზები;</w:t>
      </w:r>
    </w:p>
    <w:p w:rsidR="008707D6" w:rsidRPr="008707D6" w:rsidRDefault="008707D6" w:rsidP="008707D6">
      <w:pPr>
        <w:numPr>
          <w:ilvl w:val="0"/>
          <w:numId w:val="6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დაინტერესებულ მხარეთა ჩართულობის შაბლონი (მარტივი ფორმატი);</w:t>
      </w:r>
    </w:p>
    <w:p w:rsidR="008707D6" w:rsidRPr="008707D6" w:rsidRDefault="008707D6" w:rsidP="008707D6">
      <w:pPr>
        <w:numPr>
          <w:ilvl w:val="0"/>
          <w:numId w:val="6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lastRenderedPageBreak/>
        <w:t>საჩივრების მექანიზმი.</w:t>
      </w:r>
    </w:p>
    <w:p w:rsidR="008707D6" w:rsidRPr="001951F5" w:rsidRDefault="008707D6" w:rsidP="008707D6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1951F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ყველა დოკუმენტი უნდა იყოს პრაქტიკული, რედაქტირებადი და კომპანიისთვის ადაპტირებული, და არა ზოგადი ნიმუშების პირდაპირი ასლი.</w:t>
      </w:r>
    </w:p>
    <w:p w:rsidR="008707D6" w:rsidRPr="00072928" w:rsidRDefault="008707D6" w:rsidP="008707D6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1951F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3.4 ანგარიშგებ</w:t>
      </w:r>
      <w:r w:rsidR="00E101D1" w:rsidRPr="001951F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ა</w:t>
      </w:r>
    </w:p>
    <w:p w:rsidR="008707D6" w:rsidRPr="00072928" w:rsidRDefault="008707D6" w:rsidP="008707D6">
      <w:pPr>
        <w:numPr>
          <w:ilvl w:val="0"/>
          <w:numId w:val="7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შესაბამისი უნივერსალური და თემატური სტანდარტების იდენტიფიცირება;</w:t>
      </w:r>
    </w:p>
    <w:p w:rsidR="008707D6" w:rsidRPr="00072928" w:rsidRDefault="008707D6" w:rsidP="008707D6">
      <w:pPr>
        <w:numPr>
          <w:ilvl w:val="0"/>
          <w:numId w:val="7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კომპანიის ხელმისაწვდომი მონაცემების შედარება </w:t>
      </w:r>
      <w:r w:rsidR="0029562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სტანდარტ</w:t>
      </w: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ის გამჟღავნების მოთხოვნებთან;</w:t>
      </w:r>
    </w:p>
    <w:p w:rsidR="008707D6" w:rsidRPr="00072928" w:rsidRDefault="008707D6" w:rsidP="008707D6">
      <w:pPr>
        <w:numPr>
          <w:ilvl w:val="0"/>
          <w:numId w:val="7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შერჩეული ინდიკატორებისათვის მონაცემთა შეგროვებისა და ვალიდაციის მხარდაჭერა;</w:t>
      </w:r>
    </w:p>
    <w:p w:rsidR="008707D6" w:rsidRPr="00072928" w:rsidRDefault="008707D6" w:rsidP="008707D6">
      <w:pPr>
        <w:numPr>
          <w:ilvl w:val="0"/>
          <w:numId w:val="7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კომპანიის პირველი მდგრადობის ანგარიშის მომზადება </w:t>
      </w:r>
      <w:r w:rsidR="0029562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არჩეული</w:t>
      </w: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სტანდარტის შესაბამისად</w:t>
      </w:r>
      <w:r w:rsidR="00F02B90">
        <w:rPr>
          <w:rFonts w:ascii="Sylfaen" w:eastAsia="Times New Roman" w:hAnsi="Sylfaen" w:cs="Sylfaen"/>
          <w:bCs/>
          <w:kern w:val="36"/>
          <w:sz w:val="24"/>
          <w:szCs w:val="24"/>
        </w:rPr>
        <w:t xml:space="preserve"> </w:t>
      </w:r>
      <w:r w:rsidR="00F02B90"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ან </w:t>
      </w:r>
      <w:r w:rsidR="00F02B90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აღნიშნულ სტანდარტზე მითითებით (გათვალისწინებით)</w:t>
      </w: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;</w:t>
      </w:r>
    </w:p>
    <w:p w:rsidR="008707D6" w:rsidRPr="00072928" w:rsidRDefault="008707D6" w:rsidP="008707D6">
      <w:pPr>
        <w:numPr>
          <w:ilvl w:val="0"/>
          <w:numId w:val="7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ანგარიშის საზოგადოებისთვის გასაჯაროებისთვის მზადყოფნის უზრუნველყოფა;</w:t>
      </w:r>
    </w:p>
    <w:p w:rsidR="008707D6" w:rsidRPr="00E101D1" w:rsidRDefault="008707D6" w:rsidP="008707D6">
      <w:pPr>
        <w:numPr>
          <w:ilvl w:val="0"/>
          <w:numId w:val="7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E101D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კომპანიის თანამშრომლებისათვის </w:t>
      </w:r>
      <w:r w:rsidR="00955DA6" w:rsidRPr="00E101D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პერიოდული </w:t>
      </w:r>
      <w:r w:rsidRPr="00E101D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საინფორმაციო </w:t>
      </w:r>
      <w:r w:rsidR="00117D42" w:rsidRPr="00E101D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შეხვედრების </w:t>
      </w:r>
      <w:r w:rsidRPr="00E101D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ჩატარება ESG-ის საფუძვლებზე, ანგარიშგების პრინციპებზე, ESG მონაცემთა მართვასა და შიდა პასუხისმგებლობებზე;</w:t>
      </w:r>
    </w:p>
    <w:p w:rsidR="008707D6" w:rsidRDefault="008707D6" w:rsidP="008707D6">
      <w:pPr>
        <w:numPr>
          <w:ilvl w:val="0"/>
          <w:numId w:val="7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პრაქტიკული რეკომენდაციების მიწოდება მომავალ შიდა ESG ანგარიშგების</w:t>
      </w:r>
      <w:r w:rsidR="00955DA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ეტაპებთან </w:t>
      </w: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დაკავშირებით.</w:t>
      </w:r>
    </w:p>
    <w:p w:rsidR="008707D6" w:rsidRPr="00072928" w:rsidRDefault="008707D6" w:rsidP="008707D6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bookmarkStart w:id="0" w:name="_GoBack"/>
      <w:bookmarkEnd w:id="0"/>
      <w:r w:rsidRPr="00072928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3.5 კლიმატის ცვლილება და სათბური აირები (საწყისი ეტაპი)</w:t>
      </w:r>
    </w:p>
    <w:p w:rsidR="008707D6" w:rsidRPr="00072928" w:rsidRDefault="008707D6" w:rsidP="008707D6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ESG-ის დანერგვისა და ანგარიშგების ფარგლებში კომპანია ითხოვს კლიმატის ცვლილების </w:t>
      </w:r>
      <w:r w:rsidRPr="00B36364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საკითხებზე საბაზისო მხარდაჭერას,</w:t>
      </w: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რაც შესაბამისი იქნება სამთო</w:t>
      </w:r>
      <w:r w:rsidR="00424648">
        <w:rPr>
          <w:rFonts w:ascii="Sylfaen" w:eastAsia="Times New Roman" w:hAnsi="Sylfaen" w:cs="Sylfaen"/>
          <w:bCs/>
          <w:kern w:val="36"/>
          <w:sz w:val="24"/>
          <w:szCs w:val="24"/>
        </w:rPr>
        <w:t>-</w:t>
      </w:r>
      <w:r w:rsid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მოპოვებითი</w:t>
      </w: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კომპანიისათვის, რომელსაც მოკლევადიან პერსპექტივაში დეკარბონიზაციის შეზღუდული პოტენციალი აქვს.</w:t>
      </w:r>
    </w:p>
    <w:p w:rsidR="008707D6" w:rsidRPr="00072928" w:rsidRDefault="008707D6" w:rsidP="008707D6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კონსულტანტმა უნდა:</w:t>
      </w:r>
    </w:p>
    <w:p w:rsidR="008707D6" w:rsidRPr="00072928" w:rsidRDefault="008707D6" w:rsidP="008707D6">
      <w:pPr>
        <w:numPr>
          <w:ilvl w:val="0"/>
          <w:numId w:val="8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მოამზადოს კომპანიის სამთო</w:t>
      </w:r>
      <w:r w:rsid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-მოპოვებით</w:t>
      </w: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ოპერაციებთან დაკავშირებული სათბური აირების ძირითადი ემისიის წყაროების მარტივი მიმოხილვა;</w:t>
      </w:r>
    </w:p>
    <w:p w:rsidR="008707D6" w:rsidRPr="00072928" w:rsidRDefault="008707D6" w:rsidP="008707D6">
      <w:pPr>
        <w:numPr>
          <w:ilvl w:val="0"/>
          <w:numId w:val="8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შეიმუშაოს სათბური აირების </w:t>
      </w:r>
      <w:r w:rsidRPr="00E101D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ემისიების </w:t>
      </w:r>
      <w:r w:rsidR="00424648" w:rsidRPr="00E101D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საბაზისო კვლევა</w:t>
      </w: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(მხოლოდ Scope 1 და Scope 2), ხელმისაწვდომ მონაცემებსა და მკაფიოდ განსაზღვრულ დაშვებებზე დაყრდნობით;</w:t>
      </w:r>
    </w:p>
    <w:p w:rsidR="008707D6" w:rsidRDefault="008707D6" w:rsidP="008707D6">
      <w:pPr>
        <w:numPr>
          <w:ilvl w:val="0"/>
          <w:numId w:val="8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შესთავაზოს </w:t>
      </w:r>
      <w:r w:rsidRPr="007D04A9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სათბური აირების ემისიების წლიური მონიტორინგისა და ანგარიშგების მარტივი მიდგომა ESG პოლიტიკასა</w:t>
      </w: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და მდგრადობის ანგარიშში ინტეგრირების მიზნით.</w:t>
      </w:r>
    </w:p>
    <w:p w:rsidR="00424648" w:rsidRDefault="00F02B90" w:rsidP="00AE63D2">
      <w:pPr>
        <w:tabs>
          <w:tab w:val="left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Times New Roman"/>
        </w:rPr>
        <w:pict>
          <v:rect id="_x0000_i1028" style="width:468pt;height:1.8pt" o:hralign="center" o:hrstd="t" o:hr="t" fillcolor="#a0a0a0" stroked="f"/>
        </w:pict>
      </w:r>
    </w:p>
    <w:p w:rsidR="00424648" w:rsidRPr="00424648" w:rsidRDefault="00424648" w:rsidP="00424648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424648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lastRenderedPageBreak/>
        <w:t xml:space="preserve">4. </w:t>
      </w:r>
      <w:r w:rsidR="006E61C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წარმოსადგენი პროდუქტი</w:t>
      </w:r>
      <w:r w:rsidR="007D04A9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 (</w:t>
      </w:r>
      <w:r w:rsidR="007D04A9">
        <w:rPr>
          <w:rFonts w:ascii="Sylfaen" w:eastAsia="Times New Roman" w:hAnsi="Sylfaen" w:cs="Sylfaen"/>
          <w:b/>
          <w:bCs/>
          <w:kern w:val="36"/>
          <w:sz w:val="24"/>
          <w:szCs w:val="24"/>
        </w:rPr>
        <w:t>Deliverables</w:t>
      </w:r>
      <w:r w:rsidR="007D04A9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)</w:t>
      </w:r>
      <w:r w:rsidR="004D288A" w:rsidRPr="007D04A9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 </w:t>
      </w:r>
    </w:p>
    <w:p w:rsidR="00424648" w:rsidRPr="007D04A9" w:rsidRDefault="00424648" w:rsidP="00424648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კონსულტანტმა უნდა უზრუნველყოს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="003E0FFD" w:rsidRPr="003E0FFD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შემდეგ</w:t>
      </w:r>
      <w:r w:rsidRPr="003E0FFD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ი </w:t>
      </w:r>
      <w:r w:rsidR="007D04A9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პროდუქტის წარმოდგენა: </w:t>
      </w:r>
    </w:p>
    <w:p w:rsidR="00424648" w:rsidRPr="00424648" w:rsidRDefault="00424648" w:rsidP="00E101D1">
      <w:pPr>
        <w:numPr>
          <w:ilvl w:val="0"/>
          <w:numId w:val="9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ESG საწყისი შეფასებისა და ხარვეზების ანალიზის ანგარიში;</w:t>
      </w:r>
    </w:p>
    <w:p w:rsidR="00424648" w:rsidRPr="00424648" w:rsidRDefault="00424648" w:rsidP="00E101D1">
      <w:pPr>
        <w:numPr>
          <w:ilvl w:val="0"/>
          <w:numId w:val="9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ESG ჩარჩო და დანერგვის 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გზამკვლევი</w:t>
      </w: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;</w:t>
      </w:r>
    </w:p>
    <w:p w:rsidR="00424648" w:rsidRPr="00424648" w:rsidRDefault="00424648" w:rsidP="00E101D1">
      <w:pPr>
        <w:numPr>
          <w:ilvl w:val="0"/>
          <w:numId w:val="9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ESG პოლიტიკების, პროცედურებისა და შაბლონების პაკეტი (რედაქტირებად ფორმატში</w:t>
      </w:r>
      <w:r w:rsidR="006E6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და რელევანტური კომპანიისათვის</w:t>
      </w: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);</w:t>
      </w:r>
    </w:p>
    <w:p w:rsidR="00424648" w:rsidRPr="00424648" w:rsidRDefault="00424648" w:rsidP="00E101D1">
      <w:pPr>
        <w:numPr>
          <w:ilvl w:val="0"/>
          <w:numId w:val="9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სტანდარტის შესაბამისად მომზადებული მდგრადობის ანგარიში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;</w:t>
      </w:r>
    </w:p>
    <w:p w:rsidR="00424648" w:rsidRPr="00424648" w:rsidRDefault="00424648" w:rsidP="00E101D1">
      <w:pPr>
        <w:numPr>
          <w:ilvl w:val="0"/>
          <w:numId w:val="9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საბოლოო საკონსულტაციო მემორანდუმი ESG-ის მომდევნო განვითარების ეტაპების რეკომენდაციებით;</w:t>
      </w:r>
    </w:p>
    <w:p w:rsidR="00424648" w:rsidRPr="00424648" w:rsidRDefault="00424648" w:rsidP="00E101D1">
      <w:pPr>
        <w:numPr>
          <w:ilvl w:val="0"/>
          <w:numId w:val="9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სათბური აირების საწყისი მიმოხილვა და ბაზისური შეჯამება;</w:t>
      </w:r>
    </w:p>
    <w:p w:rsidR="00424648" w:rsidRDefault="00424648" w:rsidP="00E101D1">
      <w:pPr>
        <w:numPr>
          <w:ilvl w:val="0"/>
          <w:numId w:val="9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სათბური</w:t>
      </w:r>
      <w:r w:rsidR="00D279D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აირების მონიტორინგის მარტივი მიდგომა და შაბლონები.</w:t>
      </w:r>
    </w:p>
    <w:p w:rsidR="00AE63D2" w:rsidRDefault="00F02B90" w:rsidP="00AE63D2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Times New Roman"/>
        </w:rPr>
        <w:pict>
          <v:rect id="_x0000_i1029" style="width:468pt;height:1.8pt" o:hralign="center" o:hrstd="t" o:hr="t" fillcolor="#a0a0a0" stroked="f"/>
        </w:pict>
      </w:r>
    </w:p>
    <w:p w:rsidR="00AE63D2" w:rsidRPr="00AE63D2" w:rsidRDefault="00AE63D2" w:rsidP="00AE63D2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AE63D2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5. </w:t>
      </w:r>
      <w:r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პროექტის განხორციელება</w:t>
      </w:r>
    </w:p>
    <w:p w:rsidR="00AE63D2" w:rsidRPr="00AE63D2" w:rsidRDefault="00AE63D2" w:rsidP="00AE63D2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AE63D2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დავალება უნდა განხორციელდეს ეტაპობრივად</w:t>
      </w:r>
      <w:r w:rsidR="006E61C5">
        <w:rPr>
          <w:rFonts w:ascii="Sylfaen" w:eastAsia="Times New Roman" w:hAnsi="Sylfaen" w:cs="Sylfaen"/>
          <w:bCs/>
          <w:kern w:val="36"/>
          <w:sz w:val="24"/>
          <w:szCs w:val="24"/>
        </w:rPr>
        <w:t xml:space="preserve">. </w:t>
      </w:r>
      <w:r w:rsidRPr="00AE63D2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საწყის ეტაპზე უპირატესობა მიენიჭება კონსულტანტებს, რომლებიც წარმოადგენენ:</w:t>
      </w:r>
    </w:p>
    <w:p w:rsidR="00AE63D2" w:rsidRPr="00AE63D2" w:rsidRDefault="00AE63D2" w:rsidP="00AE63D2">
      <w:pPr>
        <w:numPr>
          <w:ilvl w:val="0"/>
          <w:numId w:val="10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AE63D2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ეტაპობრივ დანერგვის გეგმას;</w:t>
      </w:r>
    </w:p>
    <w:p w:rsidR="00AE63D2" w:rsidRPr="00AE63D2" w:rsidRDefault="00AE63D2" w:rsidP="00AE63D2">
      <w:pPr>
        <w:numPr>
          <w:ilvl w:val="0"/>
          <w:numId w:val="10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AE63D2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სამთო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-მოპოვებითი</w:t>
      </w:r>
      <w:r w:rsidRPr="00AE63D2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სექტორისთვის რელევანტურ პრაქტიკულ გადაწყვეტილებებს;</w:t>
      </w:r>
    </w:p>
    <w:p w:rsidR="00AE63D2" w:rsidRDefault="00AE63D2" w:rsidP="00AE63D2">
      <w:pPr>
        <w:numPr>
          <w:ilvl w:val="0"/>
          <w:numId w:val="10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AE63D2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მკაფიო გამიჯვნას მინიმალურ შესაბამისობასა და სამომავლო გაუმჯობესებებს შორის.</w:t>
      </w:r>
    </w:p>
    <w:p w:rsidR="00AE63D2" w:rsidRDefault="00F02B90" w:rsidP="00AE63D2">
      <w:pPr>
        <w:spacing w:before="120" w:after="120" w:line="240" w:lineRule="auto"/>
        <w:jc w:val="both"/>
        <w:outlineLvl w:val="0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>
          <v:rect id="_x0000_i1030" style="width:468pt;height:1.8pt" o:hralign="center" o:hrstd="t" o:hr="t" fillcolor="#a0a0a0" stroked="f"/>
        </w:pict>
      </w:r>
    </w:p>
    <w:p w:rsidR="00657D55" w:rsidRPr="00657D55" w:rsidRDefault="00657D55" w:rsidP="00657D55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6. </w:t>
      </w:r>
      <w:r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პროექტის</w:t>
      </w:r>
      <w:r w:rsidRPr="00657D5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 ხანგრძლივობა</w:t>
      </w:r>
    </w:p>
    <w:p w:rsidR="00657D55" w:rsidRPr="00657D55" w:rsidRDefault="00657D55" w:rsidP="00657D55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საკონსულტაციო მომსახურების სავარაუდო ხანგრძლივობაა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განისაზღვრება</w:t>
      </w: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5-დან 8 თვემდე, შემოთავაზებული მეთოდოლოგიისა და შეთანხმებული სამუშაო გეგმის მიხედვით.</w:t>
      </w:r>
    </w:p>
    <w:p w:rsidR="00657D55" w:rsidRPr="00657D55" w:rsidRDefault="00F02B90" w:rsidP="00657D55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pict>
          <v:rect id="_x0000_i1031" style="width:0;height:1.5pt" o:hralign="center" o:hrstd="t" o:hr="t" fillcolor="#a0a0a0" stroked="f"/>
        </w:pict>
      </w:r>
    </w:p>
    <w:p w:rsidR="00657D55" w:rsidRPr="00657D55" w:rsidRDefault="00657D55" w:rsidP="00657D55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7. კონსულტანტის კვალიფიკაცია</w:t>
      </w:r>
    </w:p>
    <w:p w:rsidR="00657D55" w:rsidRPr="00657D55" w:rsidRDefault="00657D55" w:rsidP="00657D55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კონსულტანტმა</w:t>
      </w:r>
      <w:r w:rsidR="006E6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/კომპანიამ </w:t>
      </w: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უნდა წარმოადგინოს:</w:t>
      </w:r>
    </w:p>
    <w:p w:rsidR="00657D55" w:rsidRDefault="00657D55" w:rsidP="00657D55">
      <w:pPr>
        <w:numPr>
          <w:ilvl w:val="0"/>
          <w:numId w:val="11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ESG საკონსულტაციო მომსახურებისა და ანგარიშგების სფეროში დადასტურებული გამოცდილება;</w:t>
      </w:r>
    </w:p>
    <w:p w:rsidR="00657D55" w:rsidRPr="0016380C" w:rsidRDefault="00657D55" w:rsidP="00657D55">
      <w:pPr>
        <w:numPr>
          <w:ilvl w:val="0"/>
          <w:numId w:val="11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16380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გამოცდილება სამთო, მოპოვებით ან მძიმე ინდუსტრიის სექტორში</w:t>
      </w:r>
      <w:r w:rsidR="00F532CC" w:rsidRPr="0016380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(</w:t>
      </w:r>
      <w:r w:rsidR="006E6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ჩაითვლება </w:t>
      </w:r>
      <w:r w:rsidR="00F532CC" w:rsidRPr="0016380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უპირატესობა</w:t>
      </w:r>
      <w:r w:rsidR="006E6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</w:t>
      </w:r>
      <w:r w:rsidR="00F532CC" w:rsidRPr="0016380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</w:t>
      </w:r>
      <w:r w:rsidRPr="0016380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;</w:t>
      </w:r>
    </w:p>
    <w:p w:rsidR="00657D55" w:rsidRPr="00657D55" w:rsidRDefault="00657D55" w:rsidP="00657D55">
      <w:pPr>
        <w:numPr>
          <w:ilvl w:val="0"/>
          <w:numId w:val="11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lastRenderedPageBreak/>
        <w:t>განვითარებად ბაზრებსა ან გარდამავალ ეკონომიკებში მუშაობის გამოცდილება (</w:t>
      </w:r>
      <w:r w:rsidR="006E6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ჩაითვლება </w:t>
      </w: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უპირატესობა</w:t>
      </w:r>
      <w:r w:rsidR="006E6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</w:t>
      </w: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);</w:t>
      </w:r>
    </w:p>
    <w:p w:rsidR="00657D55" w:rsidRPr="00657D55" w:rsidRDefault="00657D55" w:rsidP="00657D55">
      <w:pPr>
        <w:numPr>
          <w:ilvl w:val="0"/>
          <w:numId w:val="11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კვალიფიციური ESG და მდგრადობის ანგარიშგების ექსპერტების ხელმისაწვდომობ</w:t>
      </w:r>
      <w:r w:rsidR="006E6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ის შესაძლებლობა</w:t>
      </w:r>
      <w:r w:rsidR="003B6CF3">
        <w:rPr>
          <w:rFonts w:ascii="Sylfaen" w:eastAsia="Times New Roman" w:hAnsi="Sylfaen" w:cs="Sylfaen"/>
          <w:bCs/>
          <w:kern w:val="36"/>
          <w:sz w:val="24"/>
          <w:szCs w:val="24"/>
        </w:rPr>
        <w:t>.</w:t>
      </w:r>
    </w:p>
    <w:p w:rsidR="00657D55" w:rsidRPr="00657D55" w:rsidRDefault="00F02B90" w:rsidP="00657D55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pict>
          <v:rect id="_x0000_i1032" style="width:0;height:1.5pt" o:hralign="center" o:hrstd="t" o:hr="t" fillcolor="#a0a0a0" stroked="f"/>
        </w:pict>
      </w:r>
    </w:p>
    <w:p w:rsidR="00657D55" w:rsidRPr="00657D55" w:rsidRDefault="00657D55" w:rsidP="0016380C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8. წინადადების წარდგენის მოთხოვნები</w:t>
      </w:r>
    </w:p>
    <w:p w:rsidR="00657D55" w:rsidRPr="00657D55" w:rsidRDefault="00657D55" w:rsidP="0016380C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დაინტერესებულმა კონსულტანტებმა უნდა წარმოადგინონ:</w:t>
      </w:r>
    </w:p>
    <w:p w:rsidR="00657D55" w:rsidRPr="00657D55" w:rsidRDefault="00657D55" w:rsidP="0016380C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ტექნიკური წინადადება</w:t>
      </w:r>
    </w:p>
    <w:p w:rsidR="00657D55" w:rsidRPr="00657D55" w:rsidRDefault="00657D55" w:rsidP="0016380C">
      <w:pPr>
        <w:numPr>
          <w:ilvl w:val="0"/>
          <w:numId w:val="12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შემოთავაზებული მეთოდოლოგია და სამუშაო გეგმა;</w:t>
      </w:r>
    </w:p>
    <w:p w:rsidR="00657D55" w:rsidRDefault="00657D55" w:rsidP="002F679B">
      <w:pPr>
        <w:numPr>
          <w:ilvl w:val="0"/>
          <w:numId w:val="12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გუნდის შემადგენლობა და ძირითადი ექსპერტების CV-ები</w:t>
      </w:r>
      <w:r w:rsidR="002F679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და </w:t>
      </w:r>
      <w:r w:rsidRPr="002F679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შესაბამისი გამოცდილება</w:t>
      </w:r>
      <w:r w:rsidR="002F679B" w:rsidRPr="002F679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;</w:t>
      </w:r>
    </w:p>
    <w:p w:rsidR="00C473F3" w:rsidRPr="00C473F3" w:rsidRDefault="00657D55" w:rsidP="0016380C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ფინანსური წინადადება</w:t>
      </w:r>
    </w:p>
    <w:p w:rsidR="00C473F3" w:rsidRPr="001D3A41" w:rsidRDefault="00C473F3" w:rsidP="0016380C">
      <w:pPr>
        <w:pStyle w:val="ListParagraph"/>
        <w:numPr>
          <w:ilvl w:val="0"/>
          <w:numId w:val="15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კონსულტანტმა უნდა წარმოადგინოს ვადების გეგმა-</w:t>
      </w:r>
      <w:r w:rsidR="002C18F0"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გ</w:t>
      </w:r>
      <w:r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რაფიკი მკაფიოდ განსაზღვრული</w:t>
      </w:r>
      <w:r w:rsidR="002C18F0" w:rsidRPr="001D3A41">
        <w:rPr>
          <w:rFonts w:ascii="Sylfaen" w:eastAsia="Times New Roman" w:hAnsi="Sylfaen" w:cs="Sylfaen"/>
          <w:bCs/>
          <w:kern w:val="36"/>
          <w:sz w:val="24"/>
          <w:szCs w:val="24"/>
        </w:rPr>
        <w:t xml:space="preserve"> </w:t>
      </w:r>
      <w:r w:rsidR="002C18F0"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ეტაპების</w:t>
      </w:r>
      <w:r w:rsidR="002F679B"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ა და წარმოსადგენი პროდუქტების </w:t>
      </w:r>
      <w:r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(deliverables)</w:t>
      </w:r>
      <w:r w:rsidR="00B66422"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მიხედვით</w:t>
      </w:r>
      <w:r w:rsidR="003B6CF3">
        <w:rPr>
          <w:rFonts w:ascii="Sylfaen" w:eastAsia="Times New Roman" w:hAnsi="Sylfaen" w:cs="Sylfaen"/>
          <w:bCs/>
          <w:kern w:val="36"/>
          <w:sz w:val="24"/>
          <w:szCs w:val="24"/>
        </w:rPr>
        <w:t>;</w:t>
      </w:r>
    </w:p>
    <w:p w:rsidR="00657D55" w:rsidRPr="001D3A41" w:rsidRDefault="00657D55" w:rsidP="0016380C">
      <w:pPr>
        <w:pStyle w:val="ListParagraph"/>
        <w:numPr>
          <w:ilvl w:val="0"/>
          <w:numId w:val="15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ხარჯების დეტალური გაწერა საქმიანობებისა დ</w:t>
      </w:r>
      <w:r w:rsidR="00C85F4A"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</w:t>
      </w:r>
      <w:r w:rsidR="002F679B"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წარმოსადგენი პროდუქტების </w:t>
      </w:r>
      <w:r w:rsidR="00C85F4A"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(</w:t>
      </w:r>
      <w:r w:rsidRPr="001D3A41">
        <w:rPr>
          <w:rFonts w:ascii="Sylfaen" w:eastAsia="Times New Roman" w:hAnsi="Sylfaen" w:cs="Times New Roman"/>
        </w:rPr>
        <w:t>deliverables</w:t>
      </w:r>
      <w:r w:rsidRPr="001D3A41">
        <w:rPr>
          <w:rFonts w:ascii="Sylfaen" w:eastAsia="Times New Roman" w:hAnsi="Sylfaen" w:cs="Times New Roman"/>
          <w:lang w:val="ka-GE"/>
        </w:rPr>
        <w:t>)</w:t>
      </w:r>
      <w:r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მიხედვით;</w:t>
      </w:r>
    </w:p>
    <w:p w:rsidR="00657D55" w:rsidRPr="001D3A41" w:rsidRDefault="00657D55" w:rsidP="0016380C">
      <w:pPr>
        <w:pStyle w:val="ListParagraph"/>
        <w:numPr>
          <w:ilvl w:val="0"/>
          <w:numId w:val="15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შემოთავაზებული გადახდის გრაფიკი</w:t>
      </w:r>
      <w:r w:rsidR="00C82437" w:rsidRPr="001D3A41">
        <w:rPr>
          <w:rFonts w:ascii="Sylfaen" w:eastAsia="Times New Roman" w:hAnsi="Sylfaen" w:cs="Sylfaen"/>
          <w:bCs/>
          <w:kern w:val="36"/>
          <w:sz w:val="24"/>
          <w:szCs w:val="24"/>
        </w:rPr>
        <w:t>.</w:t>
      </w:r>
    </w:p>
    <w:p w:rsidR="00AE63D2" w:rsidRPr="00657D55" w:rsidRDefault="00AE63D2" w:rsidP="00AE63D2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</w:p>
    <w:p w:rsidR="00AE63D2" w:rsidRPr="00424648" w:rsidRDefault="00AE63D2" w:rsidP="00AE63D2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</w:p>
    <w:p w:rsidR="00424648" w:rsidRPr="00424648" w:rsidRDefault="00424648" w:rsidP="00424648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</w:p>
    <w:p w:rsidR="008707D6" w:rsidRPr="008707D6" w:rsidRDefault="008707D6" w:rsidP="008707D6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</w:p>
    <w:p w:rsidR="000F3D65" w:rsidRPr="008707D6" w:rsidRDefault="000F3D65" w:rsidP="000F3D65">
      <w:p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</w:p>
    <w:p w:rsidR="00D13B7A" w:rsidRPr="00D13B7A" w:rsidRDefault="00D13B7A" w:rsidP="00D13B7A">
      <w:pPr>
        <w:spacing w:before="120" w:after="120" w:line="240" w:lineRule="auto"/>
        <w:jc w:val="both"/>
        <w:outlineLvl w:val="1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</w:p>
    <w:p w:rsidR="00917B64" w:rsidRDefault="00917B64" w:rsidP="00D13B7A">
      <w:pPr>
        <w:spacing w:before="120" w:after="120" w:line="240" w:lineRule="auto"/>
        <w:jc w:val="both"/>
      </w:pPr>
    </w:p>
    <w:sectPr w:rsidR="00917B6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769" w:rsidRDefault="00770769" w:rsidP="0094322C">
      <w:pPr>
        <w:spacing w:after="0" w:line="240" w:lineRule="auto"/>
      </w:pPr>
      <w:r>
        <w:separator/>
      </w:r>
    </w:p>
  </w:endnote>
  <w:endnote w:type="continuationSeparator" w:id="0">
    <w:p w:rsidR="00770769" w:rsidRDefault="00770769" w:rsidP="00943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ylfaen" w:hAnsi="Sylfaen"/>
        <w:b/>
        <w:sz w:val="20"/>
        <w:szCs w:val="20"/>
      </w:rPr>
      <w:id w:val="16872553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322C" w:rsidRPr="0094322C" w:rsidRDefault="0094322C">
        <w:pPr>
          <w:pStyle w:val="Footer"/>
          <w:jc w:val="right"/>
          <w:rPr>
            <w:rFonts w:ascii="Sylfaen" w:hAnsi="Sylfaen"/>
            <w:b/>
            <w:sz w:val="20"/>
            <w:szCs w:val="20"/>
          </w:rPr>
        </w:pPr>
        <w:r w:rsidRPr="0094322C">
          <w:rPr>
            <w:rFonts w:ascii="Sylfaen" w:hAnsi="Sylfaen"/>
            <w:b/>
            <w:sz w:val="20"/>
            <w:szCs w:val="20"/>
          </w:rPr>
          <w:fldChar w:fldCharType="begin"/>
        </w:r>
        <w:r w:rsidRPr="0094322C">
          <w:rPr>
            <w:rFonts w:ascii="Sylfaen" w:hAnsi="Sylfaen"/>
            <w:b/>
            <w:sz w:val="20"/>
            <w:szCs w:val="20"/>
          </w:rPr>
          <w:instrText xml:space="preserve"> PAGE   \* MERGEFORMAT </w:instrText>
        </w:r>
        <w:r w:rsidRPr="0094322C">
          <w:rPr>
            <w:rFonts w:ascii="Sylfaen" w:hAnsi="Sylfaen"/>
            <w:b/>
            <w:sz w:val="20"/>
            <w:szCs w:val="20"/>
          </w:rPr>
          <w:fldChar w:fldCharType="separate"/>
        </w:r>
        <w:r w:rsidRPr="0094322C">
          <w:rPr>
            <w:rFonts w:ascii="Sylfaen" w:hAnsi="Sylfaen"/>
            <w:b/>
            <w:noProof/>
            <w:sz w:val="20"/>
            <w:szCs w:val="20"/>
          </w:rPr>
          <w:t>2</w:t>
        </w:r>
        <w:r w:rsidRPr="0094322C">
          <w:rPr>
            <w:rFonts w:ascii="Sylfaen" w:hAnsi="Sylfaen"/>
            <w:b/>
            <w:noProof/>
            <w:sz w:val="20"/>
            <w:szCs w:val="20"/>
          </w:rPr>
          <w:fldChar w:fldCharType="end"/>
        </w:r>
      </w:p>
    </w:sdtContent>
  </w:sdt>
  <w:p w:rsidR="0094322C" w:rsidRDefault="00943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769" w:rsidRDefault="00770769" w:rsidP="0094322C">
      <w:pPr>
        <w:spacing w:after="0" w:line="240" w:lineRule="auto"/>
      </w:pPr>
      <w:r>
        <w:separator/>
      </w:r>
    </w:p>
  </w:footnote>
  <w:footnote w:type="continuationSeparator" w:id="0">
    <w:p w:rsidR="00770769" w:rsidRDefault="00770769" w:rsidP="00943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50CB"/>
    <w:multiLevelType w:val="multilevel"/>
    <w:tmpl w:val="601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E6E2E"/>
    <w:multiLevelType w:val="hybridMultilevel"/>
    <w:tmpl w:val="33906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2CC2"/>
    <w:multiLevelType w:val="multilevel"/>
    <w:tmpl w:val="9BE2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03EF1"/>
    <w:multiLevelType w:val="hybridMultilevel"/>
    <w:tmpl w:val="A650E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54770"/>
    <w:multiLevelType w:val="multilevel"/>
    <w:tmpl w:val="B056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81A0F"/>
    <w:multiLevelType w:val="multilevel"/>
    <w:tmpl w:val="F2C8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E4E52"/>
    <w:multiLevelType w:val="multilevel"/>
    <w:tmpl w:val="7A34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D6615"/>
    <w:multiLevelType w:val="multilevel"/>
    <w:tmpl w:val="D5A4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B26623"/>
    <w:multiLevelType w:val="multilevel"/>
    <w:tmpl w:val="37FC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87D30"/>
    <w:multiLevelType w:val="multilevel"/>
    <w:tmpl w:val="C1D8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EA3CA6"/>
    <w:multiLevelType w:val="multilevel"/>
    <w:tmpl w:val="D5A4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AB082D"/>
    <w:multiLevelType w:val="multilevel"/>
    <w:tmpl w:val="BF8E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577CD"/>
    <w:multiLevelType w:val="multilevel"/>
    <w:tmpl w:val="6922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04722"/>
    <w:multiLevelType w:val="multilevel"/>
    <w:tmpl w:val="D5A4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9F1240"/>
    <w:multiLevelType w:val="multilevel"/>
    <w:tmpl w:val="89E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0"/>
  </w:num>
  <w:num w:numId="5">
    <w:abstractNumId w:val="11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12"/>
  </w:num>
  <w:num w:numId="12">
    <w:abstractNumId w:val="7"/>
  </w:num>
  <w:num w:numId="13">
    <w:abstractNumId w:val="4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7A"/>
    <w:rsid w:val="00017CF2"/>
    <w:rsid w:val="00072928"/>
    <w:rsid w:val="000F3D65"/>
    <w:rsid w:val="00117D42"/>
    <w:rsid w:val="00156024"/>
    <w:rsid w:val="0016380C"/>
    <w:rsid w:val="001951F5"/>
    <w:rsid w:val="001D3A41"/>
    <w:rsid w:val="001E148F"/>
    <w:rsid w:val="00272A1C"/>
    <w:rsid w:val="0029562B"/>
    <w:rsid w:val="002A57AE"/>
    <w:rsid w:val="002C18F0"/>
    <w:rsid w:val="002F1BAC"/>
    <w:rsid w:val="002F679B"/>
    <w:rsid w:val="0037360C"/>
    <w:rsid w:val="003B6CF3"/>
    <w:rsid w:val="003E0FFD"/>
    <w:rsid w:val="003F096A"/>
    <w:rsid w:val="00424648"/>
    <w:rsid w:val="00457EA1"/>
    <w:rsid w:val="00493B9B"/>
    <w:rsid w:val="004A377A"/>
    <w:rsid w:val="004A431F"/>
    <w:rsid w:val="004D288A"/>
    <w:rsid w:val="004E4955"/>
    <w:rsid w:val="00556D0D"/>
    <w:rsid w:val="005C50D8"/>
    <w:rsid w:val="00657D55"/>
    <w:rsid w:val="006609D3"/>
    <w:rsid w:val="00661CC7"/>
    <w:rsid w:val="0068327E"/>
    <w:rsid w:val="006B2F07"/>
    <w:rsid w:val="006E61C5"/>
    <w:rsid w:val="00722D65"/>
    <w:rsid w:val="00754779"/>
    <w:rsid w:val="00770769"/>
    <w:rsid w:val="00781764"/>
    <w:rsid w:val="0079159A"/>
    <w:rsid w:val="007A37DB"/>
    <w:rsid w:val="007D04A9"/>
    <w:rsid w:val="008707D6"/>
    <w:rsid w:val="008E3F66"/>
    <w:rsid w:val="008F5349"/>
    <w:rsid w:val="00917B64"/>
    <w:rsid w:val="0094322C"/>
    <w:rsid w:val="00955DA6"/>
    <w:rsid w:val="009811B8"/>
    <w:rsid w:val="009C29A4"/>
    <w:rsid w:val="009E347E"/>
    <w:rsid w:val="009F5D26"/>
    <w:rsid w:val="00A10AAF"/>
    <w:rsid w:val="00A32427"/>
    <w:rsid w:val="00A363DC"/>
    <w:rsid w:val="00AE63D2"/>
    <w:rsid w:val="00B23E4D"/>
    <w:rsid w:val="00B36364"/>
    <w:rsid w:val="00B66422"/>
    <w:rsid w:val="00BB73F2"/>
    <w:rsid w:val="00C07965"/>
    <w:rsid w:val="00C473F3"/>
    <w:rsid w:val="00C82437"/>
    <w:rsid w:val="00C85F4A"/>
    <w:rsid w:val="00CC61C0"/>
    <w:rsid w:val="00CF25D9"/>
    <w:rsid w:val="00D13B7A"/>
    <w:rsid w:val="00D16191"/>
    <w:rsid w:val="00D279D5"/>
    <w:rsid w:val="00D84E92"/>
    <w:rsid w:val="00DC1DBD"/>
    <w:rsid w:val="00DF256E"/>
    <w:rsid w:val="00E101D1"/>
    <w:rsid w:val="00E61B9F"/>
    <w:rsid w:val="00EA4BCF"/>
    <w:rsid w:val="00EB6CE4"/>
    <w:rsid w:val="00ED2092"/>
    <w:rsid w:val="00F02B90"/>
    <w:rsid w:val="00F35C8B"/>
    <w:rsid w:val="00F532CC"/>
    <w:rsid w:val="00F61398"/>
    <w:rsid w:val="00F9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AEAB4C5"/>
  <w15:chartTrackingRefBased/>
  <w15:docId w15:val="{AF3E8F8D-6054-40FA-8857-67BA3965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3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3B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7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B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13B7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1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D6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707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3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22C"/>
  </w:style>
  <w:style w:type="paragraph" w:styleId="Footer">
    <w:name w:val="footer"/>
    <w:basedOn w:val="Normal"/>
    <w:link w:val="FooterChar"/>
    <w:uiPriority w:val="99"/>
    <w:unhideWhenUsed/>
    <w:rsid w:val="00943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59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58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Tatuli Kvaratskhelia</dc:creator>
  <cp:keywords/>
  <dc:description/>
  <cp:lastModifiedBy>Alexandr Devidze</cp:lastModifiedBy>
  <cp:revision>58</cp:revision>
  <dcterms:created xsi:type="dcterms:W3CDTF">2026-02-19T13:42:00Z</dcterms:created>
  <dcterms:modified xsi:type="dcterms:W3CDTF">2026-03-23T08:10:00Z</dcterms:modified>
</cp:coreProperties>
</file>