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06" w:rsidRDefault="009F4B5F">
      <w:pPr>
        <w:spacing w:after="0"/>
      </w:pPr>
      <w:r>
        <w:rPr>
          <w:noProof/>
        </w:rPr>
        <w:drawing>
          <wp:inline distT="0" distB="0" distL="0" distR="0">
            <wp:extent cx="4042664" cy="913765"/>
            <wp:effectExtent l="0" t="0" r="0" b="0"/>
            <wp:docPr id="381" name="Picture 3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" name="Picture 38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2664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006" w:rsidRDefault="009F4B5F">
      <w:pPr>
        <w:spacing w:after="150"/>
      </w:pPr>
      <w:r>
        <w:rPr>
          <w:rFonts w:ascii="Sylfaen" w:eastAsia="Sylfaen" w:hAnsi="Sylfaen" w:cs="Sylfaen"/>
          <w:sz w:val="36"/>
        </w:rPr>
        <w:t xml:space="preserve"> </w:t>
      </w:r>
    </w:p>
    <w:p w:rsidR="00720006" w:rsidRDefault="009F4B5F">
      <w:pPr>
        <w:spacing w:after="0"/>
        <w:jc w:val="right"/>
      </w:pPr>
      <w:proofErr w:type="spellStart"/>
      <w:r>
        <w:rPr>
          <w:rFonts w:ascii="Sylfaen" w:eastAsia="Sylfaen" w:hAnsi="Sylfaen" w:cs="Sylfaen"/>
          <w:sz w:val="36"/>
        </w:rPr>
        <w:t>ელექტრონული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ტენდერის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  <w:proofErr w:type="spellStart"/>
      <w:r>
        <w:rPr>
          <w:rFonts w:ascii="Sylfaen" w:eastAsia="Sylfaen" w:hAnsi="Sylfaen" w:cs="Sylfaen"/>
          <w:sz w:val="36"/>
        </w:rPr>
        <w:t>განაცხადი</w:t>
      </w:r>
      <w:proofErr w:type="spellEnd"/>
      <w:r>
        <w:rPr>
          <w:rFonts w:ascii="AcadNusx" w:eastAsia="AcadNusx" w:hAnsi="AcadNusx" w:cs="AcadNusx"/>
          <w:sz w:val="36"/>
        </w:rPr>
        <w:t xml:space="preserve"> </w:t>
      </w:r>
    </w:p>
    <w:p w:rsidR="00720006" w:rsidRDefault="00720006"/>
    <w:tbl>
      <w:tblPr>
        <w:tblStyle w:val="TableGrid"/>
        <w:tblpPr w:leftFromText="180" w:rightFromText="180" w:vertAnchor="text" w:horzAnchor="margin" w:tblpY="320"/>
        <w:tblW w:w="9352" w:type="dxa"/>
        <w:tblInd w:w="0" w:type="dxa"/>
        <w:tblCellMar>
          <w:top w:w="39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442"/>
        <w:gridCol w:w="3065"/>
        <w:gridCol w:w="5845"/>
      </w:tblGrid>
      <w:tr w:rsidR="003F6588" w:rsidTr="003F6588">
        <w:trPr>
          <w:trHeight w:val="27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  <w:jc w:val="both"/>
            </w:pPr>
            <w:r>
              <w:t xml:space="preserve">№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t xml:space="preserve"> </w:t>
            </w:r>
          </w:p>
        </w:tc>
      </w:tr>
      <w:tr w:rsidR="003F6588" w:rsidTr="003F6588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1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აღწერილობა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Pr="00600499" w:rsidRDefault="003F6588" w:rsidP="00266B0C">
            <w:pPr>
              <w:rPr>
                <w:lang w:val="ka-GE"/>
              </w:rPr>
            </w:pPr>
            <w:r>
              <w:t>„</w:t>
            </w:r>
            <w:proofErr w:type="spellStart"/>
            <w:r>
              <w:t>სოკარ</w:t>
            </w:r>
            <w:proofErr w:type="spellEnd"/>
            <w:r>
              <w:t xml:space="preserve"> </w:t>
            </w:r>
            <w:proofErr w:type="spellStart"/>
            <w:r>
              <w:t>ჯორჯია</w:t>
            </w:r>
            <w:proofErr w:type="spellEnd"/>
            <w:r>
              <w:t xml:space="preserve"> </w:t>
            </w:r>
            <w:proofErr w:type="spellStart"/>
            <w:r>
              <w:t>პეტროლიუმის</w:t>
            </w:r>
            <w:proofErr w:type="spellEnd"/>
            <w:r>
              <w:t xml:space="preserve">“ </w:t>
            </w:r>
            <w:proofErr w:type="spellStart"/>
            <w:r>
              <w:t>ბალანსზე</w:t>
            </w:r>
            <w:proofErr w:type="spellEnd"/>
            <w:r>
              <w:t xml:space="preserve"> </w:t>
            </w:r>
            <w:proofErr w:type="spellStart"/>
            <w:r>
              <w:t>არსებული</w:t>
            </w:r>
            <w:proofErr w:type="spellEnd"/>
            <w:r>
              <w:t xml:space="preserve"> </w:t>
            </w:r>
            <w:proofErr w:type="spellStart"/>
            <w:r w:rsidR="00600499">
              <w:t>სადგურ</w:t>
            </w:r>
            <w:proofErr w:type="spellEnd"/>
            <w:r w:rsidR="00600499">
              <w:rPr>
                <w:lang w:val="ka-GE"/>
              </w:rPr>
              <w:t xml:space="preserve">ზე შიდა საპირფარეშოების </w:t>
            </w:r>
            <w:r w:rsidR="00266B0C">
              <w:rPr>
                <w:lang w:val="ka-GE"/>
              </w:rPr>
              <w:t>რეკონსტრუქცია(რემონტი)</w:t>
            </w:r>
            <w:r w:rsidR="00600499">
              <w:rPr>
                <w:lang w:val="ka-GE"/>
              </w:rPr>
              <w:t>.</w:t>
            </w:r>
          </w:p>
        </w:tc>
      </w:tr>
      <w:tr w:rsidR="003F6588" w:rsidTr="004D5361">
        <w:trPr>
          <w:trHeight w:val="2063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2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კონკრეტული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დავალება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DB3A8E" w:rsidP="00DB3A8E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 xml:space="preserve">  სოფ. ურბნისთან (ავტობანზე) </w:t>
            </w:r>
            <w:r w:rsidR="003F6588">
              <w:rPr>
                <w:lang w:val="ka-GE"/>
              </w:rPr>
              <w:t>არსებული აგს-ის</w:t>
            </w:r>
            <w:r w:rsidR="0063760A">
              <w:rPr>
                <w:lang w:val="ka-GE"/>
              </w:rPr>
              <w:t xml:space="preserve">  </w:t>
            </w:r>
            <w:r>
              <w:rPr>
                <w:lang w:val="ka-GE"/>
              </w:rPr>
              <w:t>მომსახურების ზონაში საპირფარეშოების ფართის რეკონსტრუქცია კერძოდ</w:t>
            </w:r>
            <w:r w:rsidR="003A0CFD">
              <w:rPr>
                <w:lang w:val="ka-GE"/>
              </w:rPr>
              <w:t>:</w:t>
            </w:r>
            <w:r>
              <w:rPr>
                <w:lang w:val="ka-GE"/>
              </w:rPr>
              <w:t xml:space="preserve"> სადემონტაჟო სამუშაოები, თაბაშირმუყაოს ტიხრების მოწყობა, გრანიტის დაგება, კაფელის და დეკორატიული პანელების გაკვრა,</w:t>
            </w:r>
            <w:r w:rsidR="00266B0C">
              <w:rPr>
                <w:lang w:val="ka-GE"/>
              </w:rPr>
              <w:t xml:space="preserve"> ჭერის მოწყობა,</w:t>
            </w:r>
            <w:r>
              <w:rPr>
                <w:lang w:val="ka-GE"/>
              </w:rPr>
              <w:t xml:space="preserve"> ფურნიტურის მონტაჟი, წყლისა და კანალიზაციის სისტემის მოწყობა, ელექტროობის გაყვანილობის დაქსელვა </w:t>
            </w:r>
            <w:r w:rsidR="003A0CFD">
              <w:rPr>
                <w:lang w:val="ka-GE"/>
              </w:rPr>
              <w:t xml:space="preserve">და ა.შ </w:t>
            </w:r>
          </w:p>
          <w:p w:rsidR="00266B0C" w:rsidRDefault="00266B0C" w:rsidP="00DB3A8E">
            <w:pPr>
              <w:spacing w:after="1" w:line="239" w:lineRule="auto"/>
              <w:rPr>
                <w:lang w:val="ka-GE"/>
              </w:rPr>
            </w:pPr>
          </w:p>
          <w:p w:rsidR="00DB3A8E" w:rsidRDefault="003A0CFD" w:rsidP="00DB3A8E">
            <w:pPr>
              <w:spacing w:after="1" w:line="239" w:lineRule="auto"/>
              <w:rPr>
                <w:lang w:val="ka-GE"/>
              </w:rPr>
            </w:pPr>
            <w:r>
              <w:rPr>
                <w:lang w:val="ka-GE"/>
              </w:rPr>
              <w:t>დეტალები იხილეთ მოცემულ ფაილებში</w:t>
            </w:r>
            <w:r w:rsidR="004D5361">
              <w:rPr>
                <w:lang w:val="ka-GE"/>
              </w:rPr>
              <w:t>.</w:t>
            </w:r>
          </w:p>
          <w:p w:rsidR="003F6588" w:rsidRPr="004D5361" w:rsidRDefault="003F6588" w:rsidP="004D5361">
            <w:pPr>
              <w:spacing w:after="1" w:line="239" w:lineRule="auto"/>
              <w:rPr>
                <w:lang w:val="ka-GE"/>
              </w:rPr>
            </w:pPr>
          </w:p>
        </w:tc>
      </w:tr>
      <w:tr w:rsidR="003F6588" w:rsidTr="003F6588">
        <w:trPr>
          <w:trHeight w:val="857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3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spacing w:line="237" w:lineRule="auto"/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მოთხოვნები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პრეტენდენტების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მიმართ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4B47F4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გამოცდილება</w:t>
            </w:r>
            <w:proofErr w:type="spellEnd"/>
            <w:r>
              <w:t xml:space="preserve"> </w:t>
            </w:r>
            <w:r w:rsidRPr="004B47F4">
              <w:rPr>
                <w:lang w:val="ka-GE"/>
              </w:rPr>
              <w:t>4</w:t>
            </w:r>
            <w:r>
              <w:t xml:space="preserve">+ </w:t>
            </w:r>
            <w:proofErr w:type="spellStart"/>
            <w:r>
              <w:t>წელი</w:t>
            </w:r>
            <w:proofErr w:type="spellEnd"/>
            <w:r w:rsidR="004B47F4">
              <w:t>;</w:t>
            </w:r>
            <w:r>
              <w:t xml:space="preserve"> </w:t>
            </w:r>
            <w:bookmarkStart w:id="0" w:name="_GoBack"/>
            <w:bookmarkEnd w:id="0"/>
          </w:p>
          <w:p w:rsidR="004D5361" w:rsidRPr="00D01E6B" w:rsidRDefault="004B47F4" w:rsidP="004B47F4">
            <w:pPr>
              <w:pStyle w:val="ListParagraph"/>
              <w:numPr>
                <w:ilvl w:val="0"/>
                <w:numId w:val="1"/>
              </w:numPr>
              <w:rPr>
                <w:lang w:val="ka-GE"/>
              </w:rPr>
            </w:pPr>
            <w:r w:rsidRPr="004B47F4">
              <w:rPr>
                <w:lang w:val="ka-GE"/>
              </w:rPr>
              <w:t>ტენდერში მონაწილეობის მიღებამდე პრეტენდენტი ვალდებულია, სამუშაოების სპეციფიკისა და პირობების უკეთ შესწავლის მიზნით, დაათვალიეროს ობიექტი, რათა თავიდან იქნას აცილებული შესაძლო გაუგებრობები</w:t>
            </w:r>
            <w:r>
              <w:t>;</w:t>
            </w:r>
          </w:p>
          <w:p w:rsidR="00D01E6B" w:rsidRPr="00D01E6B" w:rsidRDefault="00D01E6B" w:rsidP="00D01E6B">
            <w:pPr>
              <w:pStyle w:val="ListParagraph"/>
              <w:numPr>
                <w:ilvl w:val="0"/>
                <w:numId w:val="1"/>
              </w:numPr>
              <w:rPr>
                <w:lang w:val="ka-GE"/>
              </w:rPr>
            </w:pPr>
            <w:r w:rsidRPr="00D01E6B">
              <w:rPr>
                <w:lang w:val="ka-GE"/>
              </w:rPr>
              <w:t xml:space="preserve">პრეტენდენტმა </w:t>
            </w:r>
            <w:proofErr w:type="spellStart"/>
            <w:r w:rsidRPr="00D01E6B">
              <w:rPr>
                <w:lang w:val="ka-GE"/>
              </w:rPr>
              <w:t>განფასებაში</w:t>
            </w:r>
            <w:proofErr w:type="spellEnd"/>
            <w:r w:rsidRPr="00D01E6B">
              <w:rPr>
                <w:lang w:val="ka-GE"/>
              </w:rPr>
              <w:t xml:space="preserve"> უნდა ასახოს და გამოიყენოს მხოლოდ ის მასალები, რომლებიც მითითებულია </w:t>
            </w:r>
            <w:proofErr w:type="spellStart"/>
            <w:r w:rsidRPr="00D01E6B">
              <w:rPr>
                <w:lang w:val="ka-GE"/>
              </w:rPr>
              <w:t>სატენდერო</w:t>
            </w:r>
            <w:proofErr w:type="spellEnd"/>
            <w:r w:rsidRPr="00D01E6B">
              <w:rPr>
                <w:lang w:val="ka-GE"/>
              </w:rPr>
              <w:t xml:space="preserve"> დოკუმენტაციის ექსპლიკაციაში</w:t>
            </w:r>
            <w:r>
              <w:rPr>
                <w:lang w:val="ka-GE"/>
              </w:rPr>
              <w:t>.</w:t>
            </w:r>
          </w:p>
          <w:p w:rsidR="00D01E6B" w:rsidRPr="00D01E6B" w:rsidRDefault="00D01E6B" w:rsidP="00D01E6B">
            <w:pPr>
              <w:pStyle w:val="ListParagraph"/>
              <w:rPr>
                <w:lang w:val="ka-GE"/>
              </w:rPr>
            </w:pPr>
          </w:p>
          <w:p w:rsidR="00D01E6B" w:rsidRPr="00D01E6B" w:rsidRDefault="00D01E6B" w:rsidP="00D01E6B">
            <w:pPr>
              <w:pStyle w:val="ListParagraph"/>
              <w:numPr>
                <w:ilvl w:val="0"/>
                <w:numId w:val="1"/>
              </w:numPr>
              <w:rPr>
                <w:lang w:val="ka-GE"/>
              </w:rPr>
            </w:pPr>
            <w:r w:rsidRPr="00D01E6B">
              <w:rPr>
                <w:lang w:val="ka-GE"/>
              </w:rPr>
              <w:t>პრეტენდენტი ვალდებულია უზრუნველყოს ობიექტის ჩაბარება დადგენილ ვადებში და მკაცრად დაიცვას სამუშაოების შესრულების გრაფიკი.</w:t>
            </w:r>
          </w:p>
          <w:p w:rsidR="00D01E6B" w:rsidRPr="00D01E6B" w:rsidRDefault="00D01E6B" w:rsidP="00D01E6B">
            <w:pPr>
              <w:pStyle w:val="ListParagraph"/>
              <w:numPr>
                <w:ilvl w:val="0"/>
                <w:numId w:val="1"/>
              </w:numPr>
              <w:rPr>
                <w:lang w:val="ka-GE"/>
              </w:rPr>
            </w:pPr>
            <w:r w:rsidRPr="00D01E6B">
              <w:rPr>
                <w:lang w:val="ka-GE"/>
              </w:rPr>
              <w:t xml:space="preserve">ხარჯთაღრიცხვაში გათვალისწინებული პოზიციები: თხევადი საპნის დოზატორი; ქაღალდის </w:t>
            </w:r>
            <w:proofErr w:type="spellStart"/>
            <w:r w:rsidRPr="00D01E6B">
              <w:rPr>
                <w:lang w:val="ka-GE"/>
              </w:rPr>
              <w:t>დისპენსერი</w:t>
            </w:r>
            <w:proofErr w:type="spellEnd"/>
            <w:r w:rsidRPr="00D01E6B">
              <w:rPr>
                <w:lang w:val="ka-GE"/>
              </w:rPr>
              <w:t xml:space="preserve">; ხელის საშრობი; უჟანგავი ფოლადის ვედრო (5 ლიტრიანი); უნიტაზის </w:t>
            </w:r>
            <w:proofErr w:type="spellStart"/>
            <w:r w:rsidRPr="00D01E6B">
              <w:rPr>
                <w:lang w:val="ka-GE"/>
              </w:rPr>
              <w:lastRenderedPageBreak/>
              <w:t>ჩასახეხი</w:t>
            </w:r>
            <w:proofErr w:type="spellEnd"/>
            <w:r w:rsidRPr="00D01E6B">
              <w:rPr>
                <w:lang w:val="ka-GE"/>
              </w:rPr>
              <w:t xml:space="preserve"> უჟანგავი ფოლადის ჯაგრისით; უჟანგავი ფოლადის ვედრო (65 ლიტრიანი).</w:t>
            </w:r>
          </w:p>
          <w:p w:rsidR="00D01E6B" w:rsidRPr="004B47F4" w:rsidRDefault="00D01E6B" w:rsidP="00D01E6B">
            <w:pPr>
              <w:pStyle w:val="ListParagraph"/>
              <w:rPr>
                <w:lang w:val="ka-GE"/>
              </w:rPr>
            </w:pPr>
            <w:r w:rsidRPr="00D01E6B">
              <w:rPr>
                <w:lang w:val="ka-GE"/>
              </w:rPr>
              <w:t>აღნიშნული ინვენტარი სარემონტო სამუშაოების მიმდინარეობისას შესაძლებელია დამკვეთის მიერ წარმოდგენილ იქნას ობიექტზე. ასეთ შემთხვევაში, გამარჯვებულმა შემსრულებელმა აღნიშნული პოზიციები უნდა ამოიღოს ხარჯთაღრიცხვიდან.</w:t>
            </w:r>
          </w:p>
        </w:tc>
      </w:tr>
      <w:tr w:rsidR="003F6588" w:rsidTr="003F6588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lastRenderedPageBreak/>
              <w:t xml:space="preserve">4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გადახდის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rPr>
                <w:lang w:val="ka-GE"/>
              </w:rPr>
              <w:t>30% ავანსი 70% ჩაბარების შემდეგ</w:t>
            </w:r>
            <w:r w:rsidR="004B47F4">
              <w:rPr>
                <w:lang w:val="ka-GE"/>
              </w:rPr>
              <w:t xml:space="preserve"> </w:t>
            </w:r>
            <w:r w:rsidR="004B47F4">
              <w:t>7</w:t>
            </w:r>
            <w:r>
              <w:rPr>
                <w:lang w:val="ka-GE"/>
              </w:rPr>
              <w:t xml:space="preserve"> სამუშაო დღეში</w:t>
            </w:r>
            <w:r>
              <w:t xml:space="preserve"> </w:t>
            </w:r>
          </w:p>
        </w:tc>
      </w:tr>
      <w:tr w:rsidR="003F6588" w:rsidTr="003F6588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5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ტენდერის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0F22F7" w:rsidP="003F6588">
            <w:r>
              <w:rPr>
                <w:lang w:val="ka-GE"/>
              </w:rPr>
              <w:t>7</w:t>
            </w:r>
            <w:r w:rsidR="003F6588">
              <w:t xml:space="preserve"> </w:t>
            </w:r>
            <w:proofErr w:type="spellStart"/>
            <w:r w:rsidR="003F6588">
              <w:t>კალენდარული</w:t>
            </w:r>
            <w:proofErr w:type="spellEnd"/>
            <w:r w:rsidR="003F6588">
              <w:t xml:space="preserve"> </w:t>
            </w:r>
            <w:proofErr w:type="spellStart"/>
            <w:r w:rsidR="003F6588">
              <w:t>დღე</w:t>
            </w:r>
            <w:proofErr w:type="spellEnd"/>
            <w:r w:rsidR="003F6588">
              <w:t xml:space="preserve"> </w:t>
            </w:r>
          </w:p>
        </w:tc>
      </w:tr>
      <w:tr w:rsidR="003F6588" w:rsidTr="003F6588">
        <w:trPr>
          <w:trHeight w:val="56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6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ხელშკ</w:t>
            </w:r>
            <w:r>
              <w:rPr>
                <w:rFonts w:ascii="AcadNusx" w:eastAsia="AcadNusx" w:hAnsi="AcadNusx" w:cs="AcadNusx"/>
              </w:rPr>
              <w:t>e</w:t>
            </w:r>
            <w:r>
              <w:rPr>
                <w:rFonts w:ascii="Sylfaen" w:eastAsia="Sylfaen" w:hAnsi="Sylfaen" w:cs="Sylfaen"/>
              </w:rPr>
              <w:t>რულების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ვადები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t xml:space="preserve"> </w:t>
            </w:r>
            <w:r w:rsidR="000F22F7">
              <w:t xml:space="preserve">30 </w:t>
            </w:r>
            <w:proofErr w:type="spellStart"/>
            <w:r>
              <w:t>დღე</w:t>
            </w:r>
            <w:proofErr w:type="spellEnd"/>
            <w:r>
              <w:t xml:space="preserve"> </w:t>
            </w:r>
          </w:p>
        </w:tc>
      </w:tr>
      <w:tr w:rsidR="003F6588" w:rsidTr="004D5361">
        <w:trPr>
          <w:trHeight w:val="362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7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left="2"/>
            </w:pPr>
            <w:proofErr w:type="spellStart"/>
            <w:r>
              <w:rPr>
                <w:rFonts w:ascii="Sylfaen" w:eastAsia="Sylfaen" w:hAnsi="Sylfaen" w:cs="Sylfaen"/>
              </w:rPr>
              <w:t>საგარანტიო</w:t>
            </w:r>
            <w:proofErr w:type="spellEnd"/>
            <w:r>
              <w:rPr>
                <w:rFonts w:ascii="AcadNusx" w:eastAsia="AcadNusx" w:hAnsi="AcadNusx" w:cs="AcadNusx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პირობები</w:t>
            </w:r>
            <w:proofErr w:type="spellEnd"/>
            <w:r>
              <w:rPr>
                <w:rFonts w:ascii="AcadNusx" w:eastAsia="AcadNusx" w:hAnsi="AcadNusx" w:cs="AcadNusx"/>
              </w:rPr>
              <w:t xml:space="preserve">  </w:t>
            </w:r>
          </w:p>
          <w:p w:rsidR="003F6588" w:rsidRDefault="003F6588" w:rsidP="003F6588">
            <w:pPr>
              <w:ind w:left="2"/>
            </w:pPr>
            <w:r>
              <w:t xml:space="preserve"> 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r>
              <w:t xml:space="preserve">4 </w:t>
            </w:r>
            <w:proofErr w:type="spellStart"/>
            <w:r>
              <w:t>წელი</w:t>
            </w:r>
            <w:proofErr w:type="spellEnd"/>
            <w:r>
              <w:t xml:space="preserve"> </w:t>
            </w:r>
          </w:p>
        </w:tc>
      </w:tr>
      <w:tr w:rsidR="003F6588" w:rsidTr="003F6588">
        <w:trPr>
          <w:trHeight w:val="279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8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4D5361" w:rsidP="003F6588">
            <w:pPr>
              <w:ind w:left="2"/>
            </w:pPr>
            <w:r>
              <w:rPr>
                <w:rFonts w:ascii="Sylfaen" w:eastAsia="Sylfaen" w:hAnsi="Sylfaen" w:cs="Sylfaen"/>
                <w:lang w:val="ka-GE"/>
              </w:rPr>
              <w:t>აუცილებელად გასათვალისწინებელი მოთხოვნები.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Pr="00237058" w:rsidRDefault="004D5361" w:rsidP="003F6588">
            <w:pPr>
              <w:rPr>
                <w:lang w:val="ka-GE"/>
              </w:rPr>
            </w:pPr>
            <w:proofErr w:type="spellStart"/>
            <w:r>
              <w:t>პრეტენდენტმა</w:t>
            </w:r>
            <w:proofErr w:type="spellEnd"/>
            <w:r>
              <w:t xml:space="preserve"> </w:t>
            </w:r>
            <w:proofErr w:type="spellStart"/>
            <w:r>
              <w:t>ტენდერში</w:t>
            </w:r>
            <w:proofErr w:type="spellEnd"/>
            <w:r>
              <w:t xml:space="preserve"> </w:t>
            </w:r>
            <w:proofErr w:type="spellStart"/>
            <w:r>
              <w:t>მონაწილეობის</w:t>
            </w:r>
            <w:proofErr w:type="spellEnd"/>
            <w:r>
              <w:t xml:space="preserve"> </w:t>
            </w:r>
            <w:proofErr w:type="spellStart"/>
            <w:r>
              <w:t>მიღებამდე</w:t>
            </w:r>
            <w:proofErr w:type="spellEnd"/>
            <w:r>
              <w:t xml:space="preserve"> </w:t>
            </w:r>
            <w:proofErr w:type="spellStart"/>
            <w:r>
              <w:t>უნდა</w:t>
            </w:r>
            <w:proofErr w:type="spellEnd"/>
            <w:r>
              <w:t xml:space="preserve"> </w:t>
            </w:r>
            <w:proofErr w:type="spellStart"/>
            <w:r>
              <w:t>გაითვალისწინოს</w:t>
            </w:r>
            <w:proofErr w:type="spellEnd"/>
            <w:r>
              <w:t xml:space="preserve">, </w:t>
            </w:r>
            <w:proofErr w:type="spellStart"/>
            <w:r>
              <w:t>რომ</w:t>
            </w:r>
            <w:proofErr w:type="spellEnd"/>
            <w:r>
              <w:t xml:space="preserve"> </w:t>
            </w:r>
            <w:proofErr w:type="spellStart"/>
            <w:r>
              <w:t>სარემონტო</w:t>
            </w:r>
            <w:proofErr w:type="spellEnd"/>
            <w:r>
              <w:t xml:space="preserve"> </w:t>
            </w:r>
            <w:proofErr w:type="spellStart"/>
            <w:r>
              <w:t>სამუშაოების</w:t>
            </w:r>
            <w:proofErr w:type="spellEnd"/>
            <w:r>
              <w:t xml:space="preserve"> </w:t>
            </w:r>
            <w:r>
              <w:rPr>
                <w:lang w:val="ka-GE"/>
              </w:rPr>
              <w:t>მიმდინარეობისას ობიექტი არ შეწყვეტს ფუნქციონირებას, შესაბამისად უნდა შემოიფარგლოს ტერიტორია დამცავი ღობეებით და ბადეებით, ქვის ჭრა შესრულდეს შენობის გარე ტერიტორიაზე და სველი ჭრის მეთოდით.</w:t>
            </w:r>
            <w:r w:rsidR="00237058">
              <w:t xml:space="preserve"> </w:t>
            </w:r>
            <w:r w:rsidR="00237058">
              <w:rPr>
                <w:lang w:val="ka-GE"/>
              </w:rPr>
              <w:t xml:space="preserve">დაცული იყოს </w:t>
            </w:r>
            <w:r w:rsidR="00237058">
              <w:t>HSE</w:t>
            </w:r>
            <w:r w:rsidR="00237058">
              <w:rPr>
                <w:lang w:val="ka-GE"/>
              </w:rPr>
              <w:t>(შრომის უსაფრთხოების ნორმები) დამკვეთის მოთხოვნით და სახელმწიფო რეგულაციების მიხედვით.</w:t>
            </w:r>
          </w:p>
        </w:tc>
      </w:tr>
      <w:tr w:rsidR="003F6588" w:rsidTr="003F6588">
        <w:trPr>
          <w:trHeight w:val="300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Default="003F6588" w:rsidP="003F6588">
            <w:pPr>
              <w:ind w:right="46"/>
              <w:jc w:val="center"/>
            </w:pPr>
            <w:r>
              <w:t xml:space="preserve">9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Pr="00D17E1F" w:rsidRDefault="00D17E1F" w:rsidP="004D5361">
            <w:pPr>
              <w:rPr>
                <w:lang w:val="ka-GE"/>
              </w:rPr>
            </w:pPr>
            <w:r>
              <w:rPr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588" w:rsidRPr="00D17E1F" w:rsidRDefault="00D17E1F" w:rsidP="004D5361">
            <w:pPr>
              <w:rPr>
                <w:lang w:val="ka-GE"/>
              </w:rPr>
            </w:pPr>
            <w:r>
              <w:rPr>
                <w:lang w:val="ka-GE"/>
              </w:rPr>
              <w:t>მერეაბ მგელაძე 577310016</w:t>
            </w:r>
          </w:p>
        </w:tc>
      </w:tr>
    </w:tbl>
    <w:p w:rsidR="00720006" w:rsidRDefault="009F4B5F">
      <w:pPr>
        <w:spacing w:after="158"/>
      </w:pPr>
      <w:r>
        <w:t xml:space="preserve"> </w:t>
      </w:r>
    </w:p>
    <w:p w:rsidR="00720006" w:rsidRDefault="009F4B5F">
      <w:pPr>
        <w:spacing w:after="0"/>
      </w:pPr>
      <w:r>
        <w:t xml:space="preserve"> </w:t>
      </w:r>
    </w:p>
    <w:p w:rsidR="00720006" w:rsidRDefault="009F4B5F">
      <w:r>
        <w:t xml:space="preserve"> </w:t>
      </w:r>
    </w:p>
    <w:p w:rsidR="00720006" w:rsidRDefault="00720006">
      <w:pPr>
        <w:spacing w:after="147"/>
      </w:pPr>
    </w:p>
    <w:p w:rsidR="00720006" w:rsidRDefault="00720006"/>
    <w:p w:rsidR="00720006" w:rsidRDefault="009F4B5F">
      <w:pPr>
        <w:spacing w:after="158"/>
      </w:pPr>
      <w:r>
        <w:t xml:space="preserve"> </w:t>
      </w:r>
    </w:p>
    <w:p w:rsidR="00720006" w:rsidRDefault="009F4B5F">
      <w:pPr>
        <w:spacing w:after="158"/>
      </w:pPr>
      <w:r>
        <w:t xml:space="preserve"> </w:t>
      </w:r>
    </w:p>
    <w:p w:rsidR="00720006" w:rsidRDefault="009F4B5F">
      <w:r>
        <w:t xml:space="preserve"> </w:t>
      </w:r>
    </w:p>
    <w:p w:rsidR="00720006" w:rsidRDefault="009F4B5F">
      <w:pPr>
        <w:spacing w:after="158"/>
      </w:pPr>
      <w:r>
        <w:t xml:space="preserve"> </w:t>
      </w:r>
    </w:p>
    <w:p w:rsidR="00720006" w:rsidRDefault="009F4B5F">
      <w:r>
        <w:t xml:space="preserve"> </w:t>
      </w:r>
    </w:p>
    <w:p w:rsidR="00720006" w:rsidRDefault="009F4B5F">
      <w:pPr>
        <w:spacing w:after="158"/>
      </w:pPr>
      <w:r>
        <w:t xml:space="preserve"> </w:t>
      </w:r>
    </w:p>
    <w:p w:rsidR="00720006" w:rsidRDefault="009F4B5F">
      <w:r>
        <w:t xml:space="preserve"> </w:t>
      </w:r>
    </w:p>
    <w:p w:rsidR="00720006" w:rsidRDefault="009F4B5F">
      <w:pPr>
        <w:spacing w:after="158"/>
      </w:pPr>
      <w:r>
        <w:lastRenderedPageBreak/>
        <w:t xml:space="preserve"> </w:t>
      </w:r>
    </w:p>
    <w:p w:rsidR="00720006" w:rsidRDefault="009F4B5F">
      <w:pPr>
        <w:spacing w:after="0"/>
      </w:pPr>
      <w:r>
        <w:t xml:space="preserve"> </w:t>
      </w:r>
    </w:p>
    <w:sectPr w:rsidR="00720006">
      <w:pgSz w:w="12240" w:h="15840"/>
      <w:pgMar w:top="1440" w:right="2902" w:bottom="164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A0B3D"/>
    <w:multiLevelType w:val="hybridMultilevel"/>
    <w:tmpl w:val="8C7E6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6"/>
    <w:rsid w:val="00002746"/>
    <w:rsid w:val="000F22F7"/>
    <w:rsid w:val="00237058"/>
    <w:rsid w:val="00266B0C"/>
    <w:rsid w:val="002A3845"/>
    <w:rsid w:val="00311230"/>
    <w:rsid w:val="003851DE"/>
    <w:rsid w:val="003A0CFD"/>
    <w:rsid w:val="003F6588"/>
    <w:rsid w:val="004B47F4"/>
    <w:rsid w:val="004D5361"/>
    <w:rsid w:val="005C62B6"/>
    <w:rsid w:val="00600499"/>
    <w:rsid w:val="0063760A"/>
    <w:rsid w:val="00720006"/>
    <w:rsid w:val="00726772"/>
    <w:rsid w:val="00890C31"/>
    <w:rsid w:val="0099122A"/>
    <w:rsid w:val="009F4B5F"/>
    <w:rsid w:val="00D01E6B"/>
    <w:rsid w:val="00D12FD9"/>
    <w:rsid w:val="00D17E1F"/>
    <w:rsid w:val="00D922AF"/>
    <w:rsid w:val="00DB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40C40"/>
  <w15:docId w15:val="{9AE3B207-E606-4A69-B4BB-06216F33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B4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cp:lastModifiedBy>Beka Chikhladze</cp:lastModifiedBy>
  <cp:revision>2</cp:revision>
  <dcterms:created xsi:type="dcterms:W3CDTF">2026-03-12T08:58:00Z</dcterms:created>
  <dcterms:modified xsi:type="dcterms:W3CDTF">2026-03-12T08:58:00Z</dcterms:modified>
</cp:coreProperties>
</file>