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A9D1" w14:textId="265F60F3" w:rsidR="00620472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>ტენდერის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>აღწერილობა</w:t>
      </w:r>
      <w:proofErr w:type="spellEnd"/>
      <w:r w:rsidR="00C819C6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>:</w:t>
      </w:r>
      <w:r w:rsidR="00C819C6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br/>
      </w:r>
    </w:p>
    <w:p w14:paraId="588C7CE8" w14:textId="55160CAA" w:rsidR="00620472" w:rsidRPr="00AB1A91" w:rsidRDefault="00F66CBD" w:rsidP="006E5A8A">
      <w:pPr>
        <w:shd w:val="clear" w:color="auto" w:fill="FFFFFF"/>
        <w:spacing w:after="225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</w:pP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  </w:t>
      </w:r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"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დიპლომატი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"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საერთაშორისო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სადისტრიბუციო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კომპანიაა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რომელიც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წარმოადგენს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მსოფლიოს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პრემიუმ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კლასის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კომპანიების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წამყვან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ბრენდებს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მსოფლიოს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ხუთ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ქვეყანაში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. </w:t>
      </w:r>
      <w:r w:rsidR="00467D3A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„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დიპლომატი</w:t>
      </w:r>
      <w:proofErr w:type="spellEnd"/>
      <w:r w:rsidR="00467D3A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“ შპს  დიპლომატ ჯორჯიას სახელით</w:t>
      </w:r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საქართველოში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საქმიანობას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ეწევა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2008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წლიდან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წარმოადგენს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ქვეყანაში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წამყვან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სადისტრიბუციო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კომპანიას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რომელიც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ახორციელებს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საერთაშორისო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კომპანიების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P&amp;G-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ის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Nestle-ს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სამომხმარებლო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კვების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პროდუქტების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დისტრიბუციას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საქართველოში</w:t>
      </w:r>
      <w:proofErr w:type="spellEnd"/>
      <w:r w:rsidR="00620472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.</w:t>
      </w:r>
      <w:r w:rsidR="00467D3A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</w:t>
      </w:r>
    </w:p>
    <w:p w14:paraId="20A0C326" w14:textId="58C5285D" w:rsidR="00620472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შპს „დიპლომატ ჯორჯია“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აცხადებს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ტენდერს</w:t>
      </w:r>
      <w:proofErr w:type="spellEnd"/>
      <w:r w:rsidR="00C8723E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:</w:t>
      </w:r>
    </w:p>
    <w:p w14:paraId="02C6BFC9" w14:textId="0F150233" w:rsidR="00C819C6" w:rsidRPr="00AB1A91" w:rsidRDefault="00C8723E" w:rsidP="006E5A8A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  <w:u w:val="single"/>
          <w:lang w:val="ka-GE"/>
        </w:rPr>
        <w:t>ტენდერი საწვავის შესყიდვაზე.</w:t>
      </w:r>
    </w:p>
    <w:p w14:paraId="34022230" w14:textId="77777777" w:rsidR="00C8723E" w:rsidRPr="00AB1A91" w:rsidRDefault="00C8723E" w:rsidP="006E5A8A">
      <w:pPr>
        <w:shd w:val="clear" w:color="auto" w:fill="FFFFFF"/>
        <w:spacing w:after="0" w:line="276" w:lineRule="auto"/>
        <w:ind w:left="720"/>
        <w:rPr>
          <w:rFonts w:asciiTheme="majorHAnsi" w:eastAsia="Times New Roman" w:hAnsiTheme="majorHAnsi" w:cstheme="majorHAnsi"/>
          <w:color w:val="141B3D"/>
          <w:sz w:val="20"/>
          <w:szCs w:val="20"/>
        </w:rPr>
      </w:pPr>
    </w:p>
    <w:p w14:paraId="52D52CF7" w14:textId="32F368AD" w:rsidR="00F66CBD" w:rsidRPr="00AB1A91" w:rsidRDefault="00F66CBD" w:rsidP="006E5A8A">
      <w:pPr>
        <w:shd w:val="clear" w:color="auto" w:fill="FFFFFF"/>
        <w:spacing w:after="225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აღნიშნული</w:t>
      </w:r>
      <w:proofErr w:type="spellEnd"/>
      <w:r w:rsidR="009E54CB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ტენდერები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ცხადდება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202</w:t>
      </w:r>
      <w:r w:rsidR="00E470B5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6</w:t>
      </w: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წლისათვის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გამარჯ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ვე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ბულ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კომპანიასთან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კონტრ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ა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ქტი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ძალაში შევა შემდეგი თარიღ</w:t>
      </w:r>
      <w:r w:rsidR="00C8723E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იდან:</w:t>
      </w:r>
    </w:p>
    <w:p w14:paraId="21F8F6D9" w14:textId="0754BE4D" w:rsidR="00F66CBD" w:rsidRPr="00AB1A91" w:rsidRDefault="00F66CBD" w:rsidP="006E5A8A">
      <w:pPr>
        <w:pStyle w:val="ListParagraph"/>
        <w:numPr>
          <w:ilvl w:val="0"/>
          <w:numId w:val="6"/>
        </w:numPr>
        <w:shd w:val="clear" w:color="auto" w:fill="FFFFFF"/>
        <w:spacing w:after="225" w:line="276" w:lineRule="auto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  <w:t>202</w:t>
      </w:r>
      <w:r w:rsidR="00E470B5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>6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  <w:t xml:space="preserve"> წლის 1</w:t>
      </w:r>
      <w:r w:rsidR="00FA6710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  <w:t xml:space="preserve"> 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  <w:t>მაისი</w:t>
      </w:r>
      <w:r w:rsidR="00FA6710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  <w:t>;</w:t>
      </w:r>
    </w:p>
    <w:p w14:paraId="78FC9D2B" w14:textId="433A66A3" w:rsidR="006E5A8A" w:rsidRPr="00AB1A91" w:rsidRDefault="006E5A8A" w:rsidP="006E5A8A">
      <w:pPr>
        <w:shd w:val="clear" w:color="auto" w:fill="FFFFFF"/>
        <w:spacing w:after="225" w:line="276" w:lineRule="auto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  <w:t>საწვავის მოხმარება:</w:t>
      </w:r>
    </w:p>
    <w:tbl>
      <w:tblPr>
        <w:tblW w:w="9252" w:type="dxa"/>
        <w:jc w:val="center"/>
        <w:tblLook w:val="04A0" w:firstRow="1" w:lastRow="0" w:firstColumn="1" w:lastColumn="0" w:noHBand="0" w:noVBand="1"/>
      </w:tblPr>
      <w:tblGrid>
        <w:gridCol w:w="2785"/>
        <w:gridCol w:w="3150"/>
        <w:gridCol w:w="3317"/>
      </w:tblGrid>
      <w:tr w:rsidR="00F56125" w:rsidRPr="00AB1A91" w14:paraId="4E5E29CC" w14:textId="77777777" w:rsidTr="00A93EFA">
        <w:trPr>
          <w:trHeight w:val="209"/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5B9BD5" w:fill="1F4E78"/>
            <w:vAlign w:val="center"/>
            <w:hideMark/>
          </w:tcPr>
          <w:p w14:paraId="4E0D4626" w14:textId="0D21D2FE" w:rsidR="00F56125" w:rsidRPr="00AB1A91" w:rsidRDefault="00F56125" w:rsidP="00F5612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AB1A9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ka-GE"/>
              </w:rPr>
              <w:t>საწვავის ტიპი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5B9BD5" w:fill="1F4E78"/>
            <w:vAlign w:val="center"/>
            <w:hideMark/>
          </w:tcPr>
          <w:p w14:paraId="6E48FCDD" w14:textId="7D7195E8" w:rsidR="00F56125" w:rsidRPr="00AB1A91" w:rsidRDefault="00F56125" w:rsidP="00F5612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AB1A9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ka-GE"/>
              </w:rPr>
              <w:t>თვის საშუალო შესყიდვა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5B9BD5" w:fill="1F4E78"/>
            <w:vAlign w:val="center"/>
            <w:hideMark/>
          </w:tcPr>
          <w:p w14:paraId="01199B0E" w14:textId="168FBA12" w:rsidR="00F56125" w:rsidRPr="00AB1A91" w:rsidRDefault="00F56125" w:rsidP="00F5612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ka-GE"/>
              </w:rPr>
            </w:pPr>
            <w:r w:rsidRPr="00AB1A91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  <w:lang w:val="ka-GE"/>
              </w:rPr>
              <w:t>წლის საშუალო შესყიდვა</w:t>
            </w:r>
          </w:p>
        </w:tc>
      </w:tr>
      <w:tr w:rsidR="009E7D88" w:rsidRPr="00AB1A91" w14:paraId="508A623B" w14:textId="77777777" w:rsidTr="00A93EFA">
        <w:trPr>
          <w:trHeight w:val="148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43D" w14:textId="77777777" w:rsidR="009E7D88" w:rsidRPr="00A93EFA" w:rsidRDefault="009E7D88" w:rsidP="009E7D8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3EF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B872" w14:textId="75E20FC1" w:rsidR="009E7D88" w:rsidRPr="00A93EFA" w:rsidRDefault="009E7D88" w:rsidP="009E7D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29,167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E7C5" w14:textId="7F0B4364" w:rsidR="009E7D88" w:rsidRPr="00A93EFA" w:rsidRDefault="009E7D88" w:rsidP="009E7D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350,000</w:t>
            </w:r>
          </w:p>
        </w:tc>
      </w:tr>
      <w:tr w:rsidR="009E7D88" w:rsidRPr="00AB1A91" w14:paraId="0542BD27" w14:textId="77777777" w:rsidTr="00A93EFA">
        <w:trPr>
          <w:trHeight w:val="148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6066" w14:textId="77777777" w:rsidR="009E7D88" w:rsidRPr="00A93EFA" w:rsidRDefault="009E7D88" w:rsidP="009E7D8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3EF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Premium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29A2" w14:textId="570936E1" w:rsidR="009E7D88" w:rsidRPr="00A93EFA" w:rsidRDefault="009E7D88" w:rsidP="009E7D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16,667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FA01" w14:textId="26C0A276" w:rsidR="009E7D88" w:rsidRPr="00A93EFA" w:rsidRDefault="009E7D88" w:rsidP="009E7D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200,000</w:t>
            </w:r>
          </w:p>
        </w:tc>
      </w:tr>
      <w:tr w:rsidR="009E7D88" w:rsidRPr="00AB1A91" w14:paraId="48687077" w14:textId="77777777" w:rsidTr="00A93EFA">
        <w:trPr>
          <w:trHeight w:val="148"/>
          <w:jc w:val="center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2AE7" w14:textId="77777777" w:rsidR="009E7D88" w:rsidRPr="00A93EFA" w:rsidRDefault="009E7D88" w:rsidP="009E7D88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93EF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Diesel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C06E" w14:textId="523CCBF8" w:rsidR="009E7D88" w:rsidRPr="00A93EFA" w:rsidRDefault="009E7D88" w:rsidP="009E7D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41,667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EDA4" w14:textId="7D296F60" w:rsidR="009E7D88" w:rsidRPr="00A93EFA" w:rsidRDefault="009E7D88" w:rsidP="009E7D8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500,000</w:t>
            </w:r>
          </w:p>
        </w:tc>
      </w:tr>
    </w:tbl>
    <w:p w14:paraId="328065B0" w14:textId="77777777" w:rsidR="006E5A8A" w:rsidRPr="00AB1A91" w:rsidRDefault="006E5A8A" w:rsidP="006E5A8A">
      <w:p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  <w:lang w:val="ka-GE"/>
        </w:rPr>
      </w:pPr>
    </w:p>
    <w:p w14:paraId="3EF1BA6C" w14:textId="45F15E06" w:rsidR="00C819C6" w:rsidRPr="00AB1A91" w:rsidRDefault="00C819C6" w:rsidP="00DA3AC2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</w:pPr>
    </w:p>
    <w:p w14:paraId="492AA867" w14:textId="6EA10247" w:rsidR="00620472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მონაწილის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მხრიდან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წარმოსადგენი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ინფორმაცია</w:t>
      </w:r>
      <w:proofErr w:type="spellEnd"/>
      <w:r w:rsidR="006E5A8A"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  <w:lang w:val="ka-GE"/>
        </w:rPr>
        <w:t xml:space="preserve"> და სხვა დეტალები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:</w:t>
      </w:r>
    </w:p>
    <w:p w14:paraId="2483EAC8" w14:textId="77777777" w:rsidR="00047DEB" w:rsidRPr="00AB1A91" w:rsidRDefault="00047DEB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4"/>
          <w:szCs w:val="24"/>
        </w:rPr>
      </w:pPr>
    </w:p>
    <w:p w14:paraId="048B4246" w14:textId="77777777" w:rsidR="00620472" w:rsidRPr="00AB1A91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რეკვიზიტები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(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სრული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დასახელება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ს/კ,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ელ.ფოსტა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ტელ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.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ნომერი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).</w:t>
      </w:r>
    </w:p>
    <w:p w14:paraId="6D7A3C83" w14:textId="56D545B4" w:rsidR="00620472" w:rsidRPr="00AB1A91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კომერციული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წინადადება</w:t>
      </w:r>
      <w:proofErr w:type="spellEnd"/>
      <w:r w:rsidR="00FA6710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,</w:t>
      </w: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რომელიც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უნდა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მოიცავდეს</w:t>
      </w:r>
      <w:proofErr w:type="spellEnd"/>
      <w:r w:rsidR="00047DEB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:</w:t>
      </w: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მომსახურების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ღირებულებას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="00047DEB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გადახდის</w:t>
      </w:r>
      <w:proofErr w:type="spellEnd"/>
      <w:r w:rsidR="00047DEB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="00047DEB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პირობას</w:t>
      </w:r>
      <w:proofErr w:type="spellEnd"/>
      <w:r w:rsidR="00047DEB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r w:rsidR="00047DEB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სხვა შემოთავაზებულ დეტალებს.</w:t>
      </w:r>
    </w:p>
    <w:p w14:paraId="05705991" w14:textId="5E142C3F" w:rsidR="00620472" w:rsidRPr="00AB1A91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ფასების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წარმოდგენა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დასაშვებია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მხოლოდ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საქართველოს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ეროვნულ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ვალუტაში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(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ლარი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).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ფასები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უნდა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მოიცავდეს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ამ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კონკურსით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გათვალისწინებულ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ყველა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ხარჯსა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და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კანონით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გათვალისწინებულ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გადასახადებს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(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მათ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შორის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დღგ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).</w:t>
      </w:r>
      <w:r w:rsidR="00C8723E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6B7CEA10" w14:textId="3E8F46AA" w:rsidR="00C8723E" w:rsidRPr="00AB1A91" w:rsidRDefault="00620472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ბოლო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2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წლის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განმავლობაში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ანალოგიური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მომსახურების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გაწევის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გამოცდილების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დამადასტურებელი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დოკუმენტაცია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.</w:t>
      </w:r>
    </w:p>
    <w:p w14:paraId="1996BADB" w14:textId="75E2B65B" w:rsidR="00C8723E" w:rsidRPr="00AB1A91" w:rsidRDefault="00C8723E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ბენზინ-გასამართი სადგურების ფართო ქსელი თბილისში და რეგიონებში;</w:t>
      </w:r>
      <w:r w:rsidR="000D3B80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გთხოვთ წარმოადგინოთ ლოკაციების მიხედვით ზუსტი მისამართები. </w:t>
      </w:r>
    </w:p>
    <w:p w14:paraId="5A25417F" w14:textId="55DADD57" w:rsidR="00C8723E" w:rsidRPr="00AB1A91" w:rsidRDefault="00C8723E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lastRenderedPageBreak/>
        <w:t xml:space="preserve">პრედენტენტმა უნდა წარადგინოს 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202</w:t>
      </w:r>
      <w:r w:rsidR="00E470B5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5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წლის პირველი იანვრიდან 202</w:t>
      </w:r>
      <w:r w:rsidR="00E470B5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6</w:t>
      </w:r>
      <w:r w:rsidR="000E73F6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წლის 2</w:t>
      </w:r>
      <w:r w:rsidR="000E73F6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8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თებერვლის ჩათვლით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, თვეების მიხედვით ჩაშლილად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,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გამოცხადებული ფასების ცხრილი თითოეულ საწვავის ტიპზე. </w:t>
      </w:r>
    </w:p>
    <w:p w14:paraId="5322929D" w14:textId="5A1D82B3" w:rsidR="00C8723E" w:rsidRPr="00AB1A91" w:rsidRDefault="00C8723E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პრეტენდენტს უნდა გააჩნდეს პლასტიკური ბარათები და ტალონებით მომსახურების სერვისი</w:t>
      </w:r>
      <w:r w:rsidR="000D3B80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.</w:t>
      </w:r>
    </w:p>
    <w:p w14:paraId="5A03AFC8" w14:textId="77777777" w:rsidR="008B6376" w:rsidRPr="00AB1A91" w:rsidRDefault="000D3B80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ბენზინ-გასამართ სადგურებზე ჩიპით (რინგი) მომსახურების სერვისი. </w:t>
      </w:r>
    </w:p>
    <w:p w14:paraId="32623E26" w14:textId="0B50F1EC" w:rsidR="00D528EA" w:rsidRPr="00AB1A91" w:rsidRDefault="00D528EA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ჩიპების ავტომობილებზე მონტაჟის სერვისი ადგილზე მომსახურებით</w:t>
      </w:r>
    </w:p>
    <w:p w14:paraId="7FC456C4" w14:textId="2F54846B" w:rsidR="008B6376" w:rsidRPr="00AB1A91" w:rsidRDefault="008B6376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რინგები და ბარათები უნდა იმართებოდეს შესაბამისი პროგრამით,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რომლის ადმინისტრატორი უნდა იყოს დიპლომატ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ჯორჯია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.</w:t>
      </w:r>
    </w:p>
    <w:p w14:paraId="15CA9135" w14:textId="331D0503" w:rsidR="00D528EA" w:rsidRPr="00AB1A91" w:rsidRDefault="00D528EA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პროგრამას უნდა ქონდეს მასიური დატის შეიმპორტების ფუნქცია</w:t>
      </w:r>
    </w:p>
    <w:p w14:paraId="0B127713" w14:textId="4CEEC9E6" w:rsidR="008B6376" w:rsidRPr="00AB1A91" w:rsidRDefault="008B6376" w:rsidP="006E5A8A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</w:pP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წარმოდგენილი უნდა იყოს საწვავის სერთიფიკატები სახეობების მიხედვით(ოქტანობა, მწარმოებელი,ემისია)</w:t>
      </w:r>
    </w:p>
    <w:p w14:paraId="3D40CBB6" w14:textId="77777777" w:rsidR="00620472" w:rsidRPr="00AB1A91" w:rsidRDefault="00620472" w:rsidP="006E5A8A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ყველა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მოთხოვნილი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დოკუმენტაციის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წარდგენა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უნდა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მოხდეს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მითითებული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ვადის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ამოწურვამდე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ელექტრონულად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ტენდერების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ვებ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გვერდზე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 </w:t>
      </w:r>
      <w:hyperlink r:id="rId11" w:history="1">
        <w:r w:rsidRPr="00AB1A91">
          <w:rPr>
            <w:rFonts w:asciiTheme="majorHAnsi" w:eastAsia="Times New Roman" w:hAnsiTheme="majorHAnsi" w:cstheme="majorHAnsi"/>
            <w:b/>
            <w:bCs/>
            <w:color w:val="0FB7FF"/>
            <w:sz w:val="20"/>
            <w:szCs w:val="20"/>
          </w:rPr>
          <w:t>www.tenders.ge</w:t>
        </w:r>
      </w:hyperlink>
    </w:p>
    <w:p w14:paraId="79D3C900" w14:textId="64C49DCF" w:rsidR="00620472" w:rsidRPr="00AB1A91" w:rsidRDefault="00620472" w:rsidP="006E5A8A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მონაწილის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მიერ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წარმოდგენილი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ძალაში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უნდა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იყოს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მიღების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თარიღიდან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30 (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ოცდაათი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)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კალენდარული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დღის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განმავლობაში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.</w:t>
      </w: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br/>
      </w:r>
    </w:p>
    <w:p w14:paraId="4CD2F491" w14:textId="7BAFB1B3" w:rsidR="00620472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სატენდერო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პროცედურები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და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ვადები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4"/>
          <w:szCs w:val="24"/>
          <w:u w:val="single"/>
        </w:rPr>
        <w:t>:</w:t>
      </w:r>
    </w:p>
    <w:p w14:paraId="1E412614" w14:textId="77777777" w:rsidR="001D7CE7" w:rsidRPr="00AB1A91" w:rsidRDefault="001D7CE7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</w:p>
    <w:p w14:paraId="53FD4A59" w14:textId="4B16394C" w:rsidR="00620472" w:rsidRPr="00AB1A91" w:rsidRDefault="00620472" w:rsidP="006E5A8A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სატენდერო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პერიოდის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დასრულების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შემდეგ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მოხდება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ყველა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იმ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კომპანიის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განაცხადის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განხილვა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რომელიც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სრულყოფილად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წარმოადგენს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სატენდერო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წინადადებაში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მოცემულ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ყველა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საჭირო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დოკუმენტაციას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. </w:t>
      </w:r>
    </w:p>
    <w:p w14:paraId="371A12D9" w14:textId="77777777" w:rsidR="00620472" w:rsidRPr="00AB1A91" w:rsidRDefault="00620472" w:rsidP="006E5A8A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მონაწილის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მიერ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წარმოდგენილი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არასწორი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ან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არასრულყოფილი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არ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განიხილება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.</w:t>
      </w:r>
    </w:p>
    <w:p w14:paraId="7E51D27D" w14:textId="77777777" w:rsidR="00620472" w:rsidRPr="00AB1A91" w:rsidRDefault="00620472" w:rsidP="006E5A8A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ყველა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სრულყოფილად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წარმოდგენილი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განხილვა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მოხდება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შპს „დიპლომატ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ჯორჯიას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“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სატენდერო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კომიტეტის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მიერ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რომელიც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გამოავლენს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გამარჯვებულს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.</w:t>
      </w:r>
    </w:p>
    <w:p w14:paraId="24050670" w14:textId="77777777" w:rsidR="00620472" w:rsidRPr="00AB1A91" w:rsidRDefault="00620472" w:rsidP="006E5A8A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შპს „დიპლომატ ჯორჯია“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უფლებას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იტოვებს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თვითონ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შეცვალოს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ტენდერის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დასრულების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ვადა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შეცვალოს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კონკურსის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პირობები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,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ან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შეწყვიტოს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მისი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მიმდინარეობის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ნებისმიერ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ეტაპზე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.</w:t>
      </w:r>
    </w:p>
    <w:p w14:paraId="6FD4C86F" w14:textId="77777777" w:rsidR="00620472" w:rsidRPr="00AB1A91" w:rsidRDefault="00620472" w:rsidP="006E5A8A">
      <w:pPr>
        <w:shd w:val="clear" w:color="auto" w:fill="FFFFFF"/>
        <w:spacing w:after="100" w:afterAutospacing="1" w:line="276" w:lineRule="auto"/>
        <w:outlineLvl w:val="1"/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>ელექტრონული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>ტენდერის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>ჩაბარების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>პირობები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2D3E4D"/>
          <w:sz w:val="20"/>
          <w:szCs w:val="20"/>
        </w:rPr>
        <w:t>:</w:t>
      </w:r>
    </w:p>
    <w:p w14:paraId="511A2AAE" w14:textId="77777777" w:rsidR="00620472" w:rsidRPr="00AB1A91" w:rsidRDefault="00620472" w:rsidP="006E5A8A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შემოთავაზებები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უნდა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აიტვირთოს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შესყიდვების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ვებ-გვერდზე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: </w:t>
      </w:r>
      <w:hyperlink r:id="rId12" w:history="1">
        <w:r w:rsidRPr="00AB1A91">
          <w:rPr>
            <w:rFonts w:asciiTheme="majorHAnsi" w:eastAsia="Times New Roman" w:hAnsiTheme="majorHAnsi" w:cstheme="majorHAnsi"/>
            <w:b/>
            <w:bCs/>
            <w:color w:val="0FB7FF"/>
            <w:sz w:val="20"/>
            <w:szCs w:val="20"/>
          </w:rPr>
          <w:t>www.tenders.ge</w:t>
        </w:r>
      </w:hyperlink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;</w:t>
      </w:r>
    </w:p>
    <w:p w14:paraId="1A0AD5FF" w14:textId="79D42B5B" w:rsidR="00620472" w:rsidRPr="00AB1A91" w:rsidRDefault="00620472" w:rsidP="006E5A8A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სატენდერო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წინადადების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წარმოდგენის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ბოლო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DE77A7">
        <w:rPr>
          <w:rFonts w:asciiTheme="majorHAnsi" w:eastAsia="Times New Roman" w:hAnsiTheme="majorHAnsi" w:cstheme="majorHAnsi"/>
          <w:color w:val="141B3D"/>
          <w:sz w:val="20"/>
          <w:szCs w:val="20"/>
        </w:rPr>
        <w:t>ვადა</w:t>
      </w:r>
      <w:proofErr w:type="spellEnd"/>
      <w:r w:rsidRPr="00DE77A7">
        <w:rPr>
          <w:rFonts w:asciiTheme="majorHAnsi" w:eastAsia="Times New Roman" w:hAnsiTheme="majorHAnsi" w:cstheme="majorHAnsi"/>
          <w:color w:val="141B3D"/>
          <w:sz w:val="20"/>
          <w:szCs w:val="20"/>
        </w:rPr>
        <w:t>: </w:t>
      </w:r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202</w:t>
      </w:r>
      <w:r w:rsidR="00F1110D"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6</w:t>
      </w:r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 </w:t>
      </w:r>
      <w:proofErr w:type="spellStart"/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წლის</w:t>
      </w:r>
      <w:proofErr w:type="spellEnd"/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,</w:t>
      </w:r>
      <w:r w:rsidR="00B94BDD"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 </w:t>
      </w:r>
      <w:r w:rsidR="00DE77A7"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>1 აპრილი</w:t>
      </w:r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17:00 </w:t>
      </w:r>
      <w:proofErr w:type="spellStart"/>
      <w:proofErr w:type="gramStart"/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სთ</w:t>
      </w:r>
      <w:proofErr w:type="spellEnd"/>
      <w:r w:rsidRPr="00DE77A7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;</w:t>
      </w:r>
      <w:proofErr w:type="gramEnd"/>
    </w:p>
    <w:p w14:paraId="68398744" w14:textId="0AFCAA27" w:rsidR="00620472" w:rsidRPr="00AB1A91" w:rsidRDefault="00C819C6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br/>
      </w:r>
    </w:p>
    <w:p w14:paraId="548C27A2" w14:textId="77777777" w:rsidR="00FF65A5" w:rsidRDefault="00FF65A5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</w:pPr>
    </w:p>
    <w:p w14:paraId="02072402" w14:textId="3AC93893" w:rsidR="00620472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lastRenderedPageBreak/>
        <w:t>საკონტაქტო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 </w:t>
      </w: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>ინფორმაცია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t>: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u w:val="single"/>
        </w:rPr>
        <w:br/>
      </w:r>
    </w:p>
    <w:p w14:paraId="095C159A" w14:textId="75335475" w:rsidR="00C819C6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141B3D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>შესყიდვების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t xml:space="preserve"> </w:t>
      </w:r>
      <w:r w:rsidR="00B94BDD"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  <w:lang w:val="ka-GE"/>
        </w:rPr>
        <w:t xml:space="preserve">სუპერვაიზერი: </w:t>
      </w:r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br/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საკონტაქტო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პირი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: </w:t>
      </w:r>
      <w:r w:rsidR="0064051B" w:rsidRPr="00AB1A91">
        <w:rPr>
          <w:rFonts w:asciiTheme="majorHAnsi" w:eastAsia="Times New Roman" w:hAnsiTheme="majorHAnsi" w:cstheme="majorHAnsi"/>
          <w:color w:val="141B3D"/>
          <w:sz w:val="20"/>
          <w:szCs w:val="20"/>
          <w:lang w:val="ka-GE"/>
        </w:rPr>
        <w:t>ნინო ბეროზაშვილი</w:t>
      </w:r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br/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ელ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. </w:t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ფოსტა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: </w:t>
      </w:r>
      <w:hyperlink r:id="rId13" w:history="1">
        <w:r w:rsidR="0064051B" w:rsidRPr="00AB1A91">
          <w:rPr>
            <w:rStyle w:val="Hyperlink"/>
            <w:rFonts w:asciiTheme="majorHAnsi" w:hAnsiTheme="majorHAnsi" w:cstheme="majorHAnsi"/>
            <w:sz w:val="20"/>
            <w:szCs w:val="20"/>
          </w:rPr>
          <w:t>n.berozashvili@diplomat.ge</w:t>
        </w:r>
      </w:hyperlink>
      <w:r w:rsidRPr="00AB1A91">
        <w:rPr>
          <w:rFonts w:asciiTheme="majorHAnsi" w:eastAsia="Times New Roman" w:hAnsiTheme="majorHAnsi" w:cstheme="majorHAnsi"/>
          <w:b/>
          <w:bCs/>
          <w:color w:val="141B3D"/>
          <w:sz w:val="20"/>
          <w:szCs w:val="20"/>
        </w:rPr>
        <w:br/>
      </w:r>
      <w:proofErr w:type="spellStart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ტელ</w:t>
      </w:r>
      <w:proofErr w:type="spellEnd"/>
      <w:r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 xml:space="preserve">: +995 </w:t>
      </w:r>
      <w:r w:rsidR="0064051B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t>598 27 44 26</w:t>
      </w:r>
      <w:r w:rsidR="00C819C6" w:rsidRPr="00AB1A91">
        <w:rPr>
          <w:rFonts w:asciiTheme="majorHAnsi" w:eastAsia="Times New Roman" w:hAnsiTheme="majorHAnsi" w:cstheme="majorHAnsi"/>
          <w:color w:val="141B3D"/>
          <w:sz w:val="20"/>
          <w:szCs w:val="20"/>
        </w:rPr>
        <w:br/>
      </w:r>
    </w:p>
    <w:p w14:paraId="1516EAEA" w14:textId="77777777" w:rsidR="00620472" w:rsidRPr="00AB1A91" w:rsidRDefault="00620472" w:rsidP="006E5A8A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color w:val="FF0000"/>
          <w:sz w:val="20"/>
          <w:szCs w:val="20"/>
        </w:rPr>
      </w:pPr>
      <w:proofErr w:type="spellStart"/>
      <w:r w:rsidRPr="00AB1A91">
        <w:rPr>
          <w:rFonts w:asciiTheme="majorHAnsi" w:eastAsia="Times New Roman" w:hAnsiTheme="majorHAnsi" w:cstheme="majorHAnsi"/>
          <w:b/>
          <w:bCs/>
          <w:color w:val="FF0000"/>
          <w:sz w:val="20"/>
          <w:szCs w:val="20"/>
          <w:u w:val="single"/>
        </w:rPr>
        <w:t>შენიშვნა</w:t>
      </w:r>
      <w:proofErr w:type="spellEnd"/>
      <w:r w:rsidRPr="00AB1A91">
        <w:rPr>
          <w:rFonts w:asciiTheme="majorHAnsi" w:eastAsia="Times New Roman" w:hAnsiTheme="majorHAnsi" w:cstheme="majorHAnsi"/>
          <w:b/>
          <w:bCs/>
          <w:color w:val="FF0000"/>
          <w:sz w:val="20"/>
          <w:szCs w:val="20"/>
          <w:u w:val="single"/>
        </w:rPr>
        <w:t>:</w:t>
      </w:r>
      <w:r w:rsidRPr="00AB1A91">
        <w:rPr>
          <w:rFonts w:asciiTheme="majorHAnsi" w:eastAsia="Times New Roman" w:hAnsiTheme="majorHAnsi" w:cstheme="majorHAnsi"/>
          <w:b/>
          <w:bCs/>
          <w:color w:val="FF0000"/>
          <w:sz w:val="20"/>
          <w:szCs w:val="20"/>
        </w:rPr>
        <w:t> 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წინადადების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წარდგენის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მომენტისთვის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პრეტენდენტი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არ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უნდა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იყოს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გაკოტრების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პროცესში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,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ლიკვიდაციის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პროცესში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და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საქმიანობის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დროებით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შეჩერების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 xml:space="preserve"> </w:t>
      </w:r>
      <w:proofErr w:type="spellStart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მდგომარეობაში</w:t>
      </w:r>
      <w:proofErr w:type="spellEnd"/>
      <w:r w:rsidRPr="00AB1A91">
        <w:rPr>
          <w:rFonts w:asciiTheme="majorHAnsi" w:eastAsia="Times New Roman" w:hAnsiTheme="majorHAnsi" w:cstheme="majorHAnsi"/>
          <w:color w:val="FF0000"/>
          <w:sz w:val="20"/>
          <w:szCs w:val="20"/>
        </w:rPr>
        <w:t>.</w:t>
      </w:r>
    </w:p>
    <w:p w14:paraId="48E38B41" w14:textId="77777777" w:rsidR="00620472" w:rsidRPr="00AB1A91" w:rsidRDefault="00620472">
      <w:pPr>
        <w:rPr>
          <w:rFonts w:asciiTheme="majorHAnsi" w:hAnsiTheme="majorHAnsi" w:cstheme="majorHAnsi"/>
          <w:sz w:val="20"/>
          <w:szCs w:val="20"/>
        </w:rPr>
      </w:pPr>
    </w:p>
    <w:sectPr w:rsidR="00620472" w:rsidRPr="00AB1A9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800F" w14:textId="77777777" w:rsidR="00AB1A91" w:rsidRDefault="00AB1A91" w:rsidP="00AB1A91">
      <w:pPr>
        <w:spacing w:after="0" w:line="240" w:lineRule="auto"/>
      </w:pPr>
      <w:r>
        <w:separator/>
      </w:r>
    </w:p>
  </w:endnote>
  <w:endnote w:type="continuationSeparator" w:id="0">
    <w:p w14:paraId="1852478A" w14:textId="77777777" w:rsidR="00AB1A91" w:rsidRDefault="00AB1A91" w:rsidP="00AB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12DF" w14:textId="5273AAC3" w:rsidR="00AB1A91" w:rsidRDefault="00157337">
    <w:pPr>
      <w:pStyle w:val="Footer"/>
    </w:pPr>
    <w:r>
      <w:rPr>
        <w:rFonts w:cs="Arial"/>
        <w:noProof/>
        <w:rtl/>
        <w:lang w:val="ru-RU" w:eastAsia="ru-RU"/>
      </w:rPr>
      <w:drawing>
        <wp:inline distT="0" distB="0" distL="0" distR="0" wp14:anchorId="3A6AEA42" wp14:editId="7F0613B6">
          <wp:extent cx="5943600" cy="97175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iplomat\Briefs\40463_ paper_A4\Sketches\Georgia\40463_paper_A4_Georgi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95"/>
                  <a:stretch/>
                </pic:blipFill>
                <pic:spPr bwMode="auto">
                  <a:xfrm>
                    <a:off x="0" y="0"/>
                    <a:ext cx="5943600" cy="971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7E1B" w14:textId="77777777" w:rsidR="00AB1A91" w:rsidRDefault="00AB1A91" w:rsidP="00AB1A91">
      <w:pPr>
        <w:spacing w:after="0" w:line="240" w:lineRule="auto"/>
      </w:pPr>
      <w:r>
        <w:separator/>
      </w:r>
    </w:p>
  </w:footnote>
  <w:footnote w:type="continuationSeparator" w:id="0">
    <w:p w14:paraId="49D7216F" w14:textId="77777777" w:rsidR="00AB1A91" w:rsidRDefault="00AB1A91" w:rsidP="00AB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07B2" w14:textId="430BAF74" w:rsidR="00AB1A91" w:rsidRDefault="00057F13">
    <w:pPr>
      <w:pStyle w:val="Header"/>
    </w:pPr>
    <w:r>
      <w:rPr>
        <w:noProof/>
        <w:lang w:val="ru-RU" w:eastAsia="ru-RU"/>
      </w:rPr>
      <w:drawing>
        <wp:inline distT="0" distB="0" distL="0" distR="0" wp14:anchorId="3256BF19" wp14:editId="44EDE046">
          <wp:extent cx="1800225" cy="1076325"/>
          <wp:effectExtent l="0" t="0" r="0" b="0"/>
          <wp:docPr id="2" name="Picture 2" descr="S:\Diplomat\Briefs\40463_ paper_A4\Sketches\Georgia\40463_paper_A4_Georgia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plomat\Briefs\40463_ paper_A4\Sketches\Georgia\40463_paper_A4_Georgia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925AC"/>
    <w:multiLevelType w:val="hybridMultilevel"/>
    <w:tmpl w:val="C77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2417">
    <w:abstractNumId w:val="2"/>
  </w:num>
  <w:num w:numId="2" w16cid:durableId="1517695857">
    <w:abstractNumId w:val="3"/>
  </w:num>
  <w:num w:numId="3" w16cid:durableId="2080667880">
    <w:abstractNumId w:val="4"/>
  </w:num>
  <w:num w:numId="4" w16cid:durableId="1541746078">
    <w:abstractNumId w:val="0"/>
  </w:num>
  <w:num w:numId="5" w16cid:durableId="887181384">
    <w:abstractNumId w:val="6"/>
  </w:num>
  <w:num w:numId="6" w16cid:durableId="1719931614">
    <w:abstractNumId w:val="5"/>
  </w:num>
  <w:num w:numId="7" w16cid:durableId="1241476995">
    <w:abstractNumId w:val="1"/>
  </w:num>
  <w:num w:numId="8" w16cid:durableId="1166017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01643"/>
    <w:rsid w:val="00004812"/>
    <w:rsid w:val="00021D76"/>
    <w:rsid w:val="000231E2"/>
    <w:rsid w:val="00047DEB"/>
    <w:rsid w:val="00057F13"/>
    <w:rsid w:val="000A5762"/>
    <w:rsid w:val="000D3B80"/>
    <w:rsid w:val="000E73F6"/>
    <w:rsid w:val="00157337"/>
    <w:rsid w:val="001D7CE7"/>
    <w:rsid w:val="002469A1"/>
    <w:rsid w:val="002E6B83"/>
    <w:rsid w:val="00333A16"/>
    <w:rsid w:val="003C6D57"/>
    <w:rsid w:val="00467D3A"/>
    <w:rsid w:val="004D19EE"/>
    <w:rsid w:val="005103DD"/>
    <w:rsid w:val="00564016"/>
    <w:rsid w:val="005E0839"/>
    <w:rsid w:val="00620472"/>
    <w:rsid w:val="0064051B"/>
    <w:rsid w:val="00697C97"/>
    <w:rsid w:val="006A039A"/>
    <w:rsid w:val="006E5A8A"/>
    <w:rsid w:val="007A0BF3"/>
    <w:rsid w:val="007C1183"/>
    <w:rsid w:val="00834481"/>
    <w:rsid w:val="008B6376"/>
    <w:rsid w:val="008E7F3D"/>
    <w:rsid w:val="00905F25"/>
    <w:rsid w:val="009103BC"/>
    <w:rsid w:val="00917DFF"/>
    <w:rsid w:val="009E54CB"/>
    <w:rsid w:val="009E7D88"/>
    <w:rsid w:val="00A03A4A"/>
    <w:rsid w:val="00A30CFD"/>
    <w:rsid w:val="00A93EFA"/>
    <w:rsid w:val="00A9612E"/>
    <w:rsid w:val="00AB1A91"/>
    <w:rsid w:val="00AD6429"/>
    <w:rsid w:val="00B232AA"/>
    <w:rsid w:val="00B43A3C"/>
    <w:rsid w:val="00B94BDD"/>
    <w:rsid w:val="00C819C6"/>
    <w:rsid w:val="00C8723E"/>
    <w:rsid w:val="00CA0FFA"/>
    <w:rsid w:val="00CA6866"/>
    <w:rsid w:val="00D528EA"/>
    <w:rsid w:val="00DA3AC2"/>
    <w:rsid w:val="00DE0B38"/>
    <w:rsid w:val="00DE77A7"/>
    <w:rsid w:val="00E470B5"/>
    <w:rsid w:val="00E61718"/>
    <w:rsid w:val="00EC391B"/>
    <w:rsid w:val="00EE50B6"/>
    <w:rsid w:val="00F1110D"/>
    <w:rsid w:val="00F13A9C"/>
    <w:rsid w:val="00F56125"/>
    <w:rsid w:val="00F66CBD"/>
    <w:rsid w:val="00FA671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91"/>
  </w:style>
  <w:style w:type="paragraph" w:styleId="Footer">
    <w:name w:val="footer"/>
    <w:basedOn w:val="Normal"/>
    <w:link w:val="FooterChar"/>
    <w:uiPriority w:val="99"/>
    <w:unhideWhenUsed/>
    <w:rsid w:val="00AB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berozashvili@diplomat.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nders.g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s.g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8aae13dcd4085bd09fece37e0a1a245c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3097d779ab5b5b0483feab7d00b2d028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6ED00-A9BD-4E24-B716-A8A632B4A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779AE-209F-4CB6-A485-CE4C150302D1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customXml/itemProps3.xml><?xml version="1.0" encoding="utf-8"?>
<ds:datastoreItem xmlns:ds="http://schemas.openxmlformats.org/officeDocument/2006/customXml" ds:itemID="{A3D5BBCD-4206-4A9C-B549-D010042B1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B40E4A-A63C-4E30-9B2D-DAB5624B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417</Words>
  <Characters>3313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Nino Berozashvili</cp:lastModifiedBy>
  <cp:revision>34</cp:revision>
  <dcterms:created xsi:type="dcterms:W3CDTF">2024-03-11T12:03:00Z</dcterms:created>
  <dcterms:modified xsi:type="dcterms:W3CDTF">2026-03-18T14:57:00Z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905600</vt:r8>
  </property>
</Properties>
</file>