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AB2CFA" w:rsidRPr="00AB2CFA" w:rsidRDefault="00AB2CFA" w:rsidP="00A71427">
      <w:pPr>
        <w:rPr>
          <w:rFonts w:ascii="Sylfaen" w:hAnsi="Sylfaen" w:cs="Sylfaen"/>
          <w:lang w:val="ka-GE"/>
        </w:rPr>
      </w:pPr>
    </w:p>
    <w:p w:rsidR="00AB2CFA" w:rsidRPr="000F2E2F" w:rsidRDefault="007B42E4" w:rsidP="007B42E4">
      <w:p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1.           </w:t>
      </w:r>
      <w:r w:rsidR="00062FD2" w:rsidRPr="000F2E2F">
        <w:rPr>
          <w:rFonts w:ascii="Sylfaen" w:hAnsi="Sylfaen" w:cs="Sylfaen"/>
          <w:lang w:val="ka-GE"/>
        </w:rPr>
        <w:t>მიზანი</w:t>
      </w:r>
    </w:p>
    <w:p w:rsidR="00335544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პროცესში</w:t>
      </w:r>
      <w:proofErr w:type="spellEnd"/>
      <w:r w:rsidR="000C4E4E" w:rsidRPr="000F2E2F">
        <w:rPr>
          <w:rFonts w:ascii="Sylfaen" w:hAnsi="Sylfaen" w:cs="Sylfaen"/>
          <w:lang w:val="ka-GE"/>
        </w:rPr>
        <w:t xml:space="preserve"> მონაწილე კო</w:t>
      </w:r>
      <w:r w:rsidR="004514B1" w:rsidRPr="000F2E2F">
        <w:rPr>
          <w:rFonts w:ascii="Sylfaen" w:hAnsi="Sylfaen" w:cs="Sylfaen"/>
          <w:lang w:val="ka-GE"/>
        </w:rPr>
        <w:t>მპანიები</w:t>
      </w:r>
    </w:p>
    <w:p w:rsidR="00062FD2" w:rsidRPr="000F2E2F" w:rsidRDefault="00E52D15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ტენდერის</w:t>
      </w:r>
      <w:r w:rsidR="00DD0992">
        <w:rPr>
          <w:rFonts w:ascii="Sylfaen" w:hAnsi="Sylfaen" w:cs="Sylfaen"/>
          <w:lang w:val="ka-GE"/>
        </w:rPr>
        <w:t xml:space="preserve"> </w:t>
      </w:r>
      <w:proofErr w:type="spellStart"/>
      <w:r w:rsidR="004A14C9">
        <w:rPr>
          <w:rFonts w:ascii="Sylfaen" w:hAnsi="Sylfaen" w:cs="Sylfaen"/>
          <w:lang w:val="en-US"/>
        </w:rPr>
        <w:t>პროცესი</w:t>
      </w:r>
      <w:proofErr w:type="spellEnd"/>
      <w:r w:rsidR="004A14C9">
        <w:rPr>
          <w:rFonts w:ascii="Sylfaen" w:hAnsi="Sylfaen" w:cs="Sylfaen"/>
          <w:lang w:val="ka-GE"/>
        </w:rPr>
        <w:t>ს</w:t>
      </w:r>
      <w:r w:rsidR="00062FD2" w:rsidRPr="000F2E2F">
        <w:rPr>
          <w:rFonts w:ascii="Sylfaen" w:hAnsi="Sylfaen" w:cs="Sylfaen"/>
          <w:lang w:val="ka-GE"/>
        </w:rPr>
        <w:t xml:space="preserve"> მიმდინარეობა</w:t>
      </w:r>
      <w:r w:rsidR="00FB272C">
        <w:rPr>
          <w:rFonts w:ascii="Sylfaen" w:hAnsi="Sylfaen" w:cs="Sylfaen"/>
          <w:lang w:val="ka-GE"/>
        </w:rPr>
        <w:t xml:space="preserve"> და ვადები</w:t>
      </w:r>
    </w:p>
    <w:p w:rsidR="00062FD2" w:rsidRPr="000F2E2F" w:rsidRDefault="00062FD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 w:rsidRPr="000F2E2F">
        <w:rPr>
          <w:rFonts w:ascii="Sylfaen" w:hAnsi="Sylfaen" w:cs="Sylfaen"/>
          <w:lang w:val="ka-GE"/>
        </w:rPr>
        <w:t>წესები</w:t>
      </w:r>
      <w:r w:rsidR="00F54A09">
        <w:rPr>
          <w:rFonts w:ascii="Sylfaen" w:hAnsi="Sylfaen" w:cs="Sylfaen"/>
          <w:lang w:val="ka-GE"/>
        </w:rPr>
        <w:t xml:space="preserve"> და კითხვები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7C7719" w:rsidRPr="00A71427" w:rsidRDefault="007B42E4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1. </w:t>
      </w:r>
      <w:r w:rsidR="007C7719" w:rsidRPr="00A71427">
        <w:rPr>
          <w:rFonts w:ascii="Sylfaen" w:hAnsi="Sylfaen" w:cs="Sylfaen"/>
          <w:b/>
          <w:lang w:val="ka-GE"/>
        </w:rPr>
        <w:t>მიზანი</w:t>
      </w:r>
    </w:p>
    <w:p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:rsidR="00BE45CE" w:rsidRDefault="00A7746A">
      <w:pPr>
        <w:ind w:firstLine="720"/>
        <w:rPr>
          <w:rFonts w:ascii="Sylfaen" w:hAnsi="Sylfaen" w:cs="Sylfaen"/>
          <w:szCs w:val="22"/>
        </w:rPr>
      </w:pPr>
      <w:proofErr w:type="spellStart"/>
      <w:r w:rsidRPr="003A2B5A">
        <w:rPr>
          <w:rFonts w:ascii="Sylfaen" w:hAnsi="Sylfaen" w:cs="Sylfaen"/>
          <w:szCs w:val="22"/>
        </w:rPr>
        <w:t>წინამდებარე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დოკუმენტის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მიზანია</w:t>
      </w:r>
      <w:proofErr w:type="spellEnd"/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პრეტენდენტს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განუმარტოს</w:t>
      </w:r>
      <w:proofErr w:type="spellEnd"/>
      <w:r w:rsidR="00681D13" w:rsidRPr="00681D13">
        <w:rPr>
          <w:rFonts w:ascii="Sylfaen" w:hAnsi="Sylfaen" w:cs="Sylfaen"/>
          <w:szCs w:val="22"/>
          <w:lang w:val="ka-GE"/>
        </w:rPr>
        <w:t xml:space="preserve"> </w:t>
      </w:r>
      <w:r w:rsidR="004036BE">
        <w:rPr>
          <w:rFonts w:ascii="Sylfaen" w:hAnsi="Sylfaen" w:cs="Sylfaen"/>
          <w:szCs w:val="22"/>
          <w:lang w:val="ka-GE"/>
        </w:rPr>
        <w:t>ზემოთ აღნიშნული კომპანიების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მოთხოვნები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და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პირობები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681D13">
        <w:rPr>
          <w:rFonts w:ascii="Sylfaen" w:hAnsi="Sylfaen" w:cs="Sylfaen"/>
          <w:szCs w:val="22"/>
          <w:lang w:val="ka-GE"/>
        </w:rPr>
        <w:t>რათა</w:t>
      </w:r>
      <w:r>
        <w:rPr>
          <w:rFonts w:ascii="Sylfaen" w:hAnsi="Sylfaen" w:cs="Sylfaen"/>
          <w:szCs w:val="22"/>
          <w:lang w:val="ka-GE"/>
        </w:rPr>
        <w:t>,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სრულად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proofErr w:type="spellStart"/>
      <w:r w:rsidRPr="003A2B5A">
        <w:rPr>
          <w:rFonts w:ascii="Sylfaen" w:hAnsi="Sylfaen" w:cs="Sylfaen"/>
          <w:szCs w:val="22"/>
        </w:rPr>
        <w:t>წარმოადგინოს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52D15">
        <w:rPr>
          <w:rFonts w:ascii="Sylfaen" w:hAnsi="Sylfaen" w:cs="Sylfaen"/>
          <w:szCs w:val="22"/>
          <w:lang w:val="ka-GE"/>
        </w:rPr>
        <w:t xml:space="preserve">სატენდერო </w:t>
      </w:r>
      <w:proofErr w:type="spellStart"/>
      <w:r w:rsidRPr="003A2B5A">
        <w:rPr>
          <w:rFonts w:ascii="Sylfaen" w:hAnsi="Sylfaen" w:cs="Sylfaen"/>
          <w:szCs w:val="22"/>
        </w:rPr>
        <w:t>წინადადება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  <w:r w:rsidR="00681D13">
        <w:rPr>
          <w:rFonts w:ascii="Sylfaen" w:hAnsi="Sylfaen" w:cs="Sylfaen"/>
          <w:szCs w:val="22"/>
          <w:lang w:val="ka-GE"/>
        </w:rPr>
        <w:t xml:space="preserve"> </w:t>
      </w:r>
    </w:p>
    <w:p w:rsidR="00DE15EC" w:rsidRDefault="003509E3" w:rsidP="0039481C">
      <w:pPr>
        <w:rPr>
          <w:rFonts w:ascii="Sylfaen" w:hAnsi="Sylfaen" w:cs="Sylfaen"/>
          <w:szCs w:val="22"/>
          <w:lang w:val="ka-GE"/>
        </w:rPr>
      </w:pPr>
      <w:r>
        <w:rPr>
          <w:rFonts w:ascii="Sylfaen" w:hAnsi="Sylfaen" w:cs="Sylfaen"/>
          <w:szCs w:val="22"/>
          <w:lang w:val="ka-GE"/>
        </w:rPr>
        <w:t>სს „სადაზღვევო კომპანია ალდაგი“</w:t>
      </w:r>
      <w:r w:rsidR="00B314DE">
        <w:rPr>
          <w:rFonts w:ascii="Sylfaen" w:hAnsi="Sylfaen" w:cs="Sylfaen"/>
          <w:szCs w:val="22"/>
          <w:lang w:val="ka-GE"/>
        </w:rPr>
        <w:t xml:space="preserve"> </w:t>
      </w:r>
      <w:r w:rsidR="00A7746A">
        <w:rPr>
          <w:rFonts w:ascii="Sylfaen" w:hAnsi="Sylfaen" w:cs="Sylfaen"/>
          <w:szCs w:val="22"/>
          <w:lang w:val="ka-GE"/>
        </w:rPr>
        <w:t xml:space="preserve">სთავაზობს </w:t>
      </w:r>
      <w:r w:rsidR="00CF0491">
        <w:rPr>
          <w:rFonts w:ascii="Sylfaen" w:hAnsi="Sylfaen" w:cs="Sylfaen"/>
          <w:szCs w:val="22"/>
          <w:lang w:val="ka-GE"/>
        </w:rPr>
        <w:t>მიიღოს მონაწილეობა</w:t>
      </w:r>
      <w:r w:rsidR="00A7746A">
        <w:rPr>
          <w:rFonts w:ascii="Sylfaen" w:hAnsi="Sylfaen" w:cs="Sylfaen"/>
          <w:szCs w:val="22"/>
          <w:lang w:val="ka-GE"/>
        </w:rPr>
        <w:t xml:space="preserve"> </w:t>
      </w:r>
      <w:r w:rsidR="00681D13">
        <w:rPr>
          <w:rFonts w:ascii="Sylfaen" w:hAnsi="Sylfaen" w:cs="Sylfaen"/>
          <w:lang w:val="ka-GE"/>
        </w:rPr>
        <w:t xml:space="preserve">გამოცხადებულ </w:t>
      </w:r>
      <w:r w:rsidR="00DE15EC" w:rsidRPr="00DE15EC">
        <w:rPr>
          <w:rFonts w:ascii="Sylfaen" w:hAnsi="Sylfaen" w:cs="Sylfaen"/>
          <w:lang w:val="ka-GE"/>
        </w:rPr>
        <w:t>ტენდერ</w:t>
      </w:r>
      <w:r w:rsidR="00681D13">
        <w:rPr>
          <w:rFonts w:ascii="Sylfaen" w:hAnsi="Sylfaen" w:cs="Sylfaen"/>
          <w:lang w:val="ka-GE"/>
        </w:rPr>
        <w:t>შ</w:t>
      </w:r>
      <w:r w:rsidR="00DE15EC" w:rsidRPr="00DE15EC">
        <w:rPr>
          <w:rFonts w:ascii="Sylfaen" w:hAnsi="Sylfaen" w:cs="Sylfaen"/>
          <w:lang w:val="ka-GE"/>
        </w:rPr>
        <w:t xml:space="preserve">ი: </w:t>
      </w:r>
      <w:r w:rsidR="00300FDE">
        <w:rPr>
          <w:rFonts w:ascii="Sylfaen" w:hAnsi="Sylfaen" w:cs="Sylfaen"/>
          <w:b/>
          <w:lang w:val="ka-GE"/>
        </w:rPr>
        <w:t>ავტომანქანის შიდა და გარე ლაივ კამერების</w:t>
      </w:r>
      <w:r w:rsidR="00BC2B64">
        <w:rPr>
          <w:rFonts w:ascii="Sylfaen" w:hAnsi="Sylfaen" w:cs="Sylfaen"/>
          <w:b/>
          <w:lang w:val="ka-GE"/>
        </w:rPr>
        <w:t xml:space="preserve"> შესყიდვაზე</w:t>
      </w:r>
      <w:r w:rsidR="00600711" w:rsidRPr="00600711">
        <w:rPr>
          <w:rFonts w:ascii="Sylfaen" w:hAnsi="Sylfaen" w:cs="Sylfaen"/>
          <w:b/>
          <w:lang w:val="ka-GE"/>
        </w:rPr>
        <w:t xml:space="preserve"> </w:t>
      </w:r>
      <w:r w:rsidR="00186B53" w:rsidRPr="00186B53">
        <w:rPr>
          <w:rFonts w:ascii="Sylfaen" w:hAnsi="Sylfaen" w:cs="Sylfaen"/>
          <w:lang w:val="ka-GE"/>
        </w:rPr>
        <w:t>შეთავაზების წარმოდგენას</w:t>
      </w:r>
      <w:r w:rsidR="00186B53">
        <w:rPr>
          <w:rFonts w:ascii="Sylfaen" w:hAnsi="Sylfaen" w:cs="Sylfaen"/>
          <w:lang w:val="ka-GE"/>
        </w:rPr>
        <w:t>.</w:t>
      </w:r>
    </w:p>
    <w:p w:rsidR="0039481C" w:rsidRDefault="0039481C" w:rsidP="0039481C">
      <w:pPr>
        <w:rPr>
          <w:rFonts w:ascii="Sylfaen" w:hAnsi="Sylfaen" w:cs="Sylfaen"/>
          <w:szCs w:val="22"/>
          <w:lang w:val="ka-GE"/>
        </w:rPr>
      </w:pPr>
      <w:proofErr w:type="spellStart"/>
      <w:r w:rsidRPr="005A3DFA">
        <w:rPr>
          <w:rFonts w:ascii="Sylfaen" w:hAnsi="Sylfaen" w:cs="Sylfaen"/>
          <w:szCs w:val="22"/>
        </w:rPr>
        <w:t>შერჩეულ</w:t>
      </w:r>
      <w:proofErr w:type="spellEnd"/>
      <w:r w:rsidR="009E467C">
        <w:rPr>
          <w:rFonts w:ascii="Sylfaen" w:hAnsi="Sylfaen" w:cs="Sylfaen"/>
          <w:szCs w:val="22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პრეტენდენტ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ებ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>/</w:t>
      </w:r>
      <w:r w:rsidR="00673142">
        <w:rPr>
          <w:rFonts w:ascii="Sylfaen" w:hAnsi="Sylfaen" w:cs="Sylfaen"/>
          <w:szCs w:val="22"/>
          <w:lang w:val="en-US"/>
        </w:rPr>
        <w:t xml:space="preserve"> </w:t>
      </w:r>
      <w:r w:rsidR="008B4CA4">
        <w:rPr>
          <w:rFonts w:ascii="Sylfaen" w:hAnsi="Sylfaen" w:cs="Sylfaen"/>
          <w:szCs w:val="22"/>
          <w:lang w:val="ka-GE"/>
        </w:rPr>
        <w:t xml:space="preserve">თან </w:t>
      </w:r>
      <w:proofErr w:type="spellStart"/>
      <w:r w:rsidRPr="005A3DFA">
        <w:rPr>
          <w:rFonts w:ascii="Sylfaen" w:hAnsi="Sylfaen" w:cs="Sylfaen"/>
          <w:szCs w:val="22"/>
        </w:rPr>
        <w:t>გაფორმდება</w:t>
      </w:r>
      <w:proofErr w:type="spellEnd"/>
      <w:r w:rsidR="00A03860">
        <w:rPr>
          <w:rFonts w:ascii="Sylfaen" w:hAnsi="Sylfaen" w:cs="Sylfaen"/>
          <w:szCs w:val="22"/>
        </w:rPr>
        <w:t xml:space="preserve"> </w:t>
      </w:r>
      <w:r w:rsidR="00E447BD">
        <w:rPr>
          <w:rFonts w:ascii="Sylfaen" w:hAnsi="Sylfaen" w:cs="Sylfaen"/>
          <w:szCs w:val="22"/>
          <w:lang w:val="ka-GE"/>
        </w:rPr>
        <w:t>ერთ</w:t>
      </w:r>
      <w:r w:rsidR="007B42E4">
        <w:rPr>
          <w:rFonts w:ascii="Sylfaen" w:hAnsi="Sylfaen" w:cs="Sylfaen"/>
          <w:szCs w:val="22"/>
          <w:lang w:val="ka-GE"/>
        </w:rPr>
        <w:t xml:space="preserve"> </w:t>
      </w:r>
      <w:r w:rsidR="003E21A9">
        <w:rPr>
          <w:rFonts w:ascii="Sylfaen" w:hAnsi="Sylfaen" w:cs="Sylfaen"/>
          <w:szCs w:val="22"/>
          <w:lang w:val="ka-GE"/>
        </w:rPr>
        <w:t>წლიანი ჩარჩო</w:t>
      </w:r>
      <w:r w:rsidR="00A03860">
        <w:rPr>
          <w:rFonts w:ascii="Sylfaen" w:hAnsi="Sylfaen" w:cs="Sylfaen"/>
          <w:szCs w:val="22"/>
          <w:lang w:val="en-US"/>
        </w:rPr>
        <w:t xml:space="preserve"> </w:t>
      </w:r>
      <w:proofErr w:type="spellStart"/>
      <w:r w:rsidRPr="005A3DFA">
        <w:rPr>
          <w:rFonts w:ascii="Sylfaen" w:hAnsi="Sylfaen" w:cs="Sylfaen"/>
          <w:szCs w:val="22"/>
        </w:rPr>
        <w:t>ხელშეკრულება</w:t>
      </w:r>
      <w:proofErr w:type="spellEnd"/>
      <w:r>
        <w:rPr>
          <w:rFonts w:ascii="Sylfaen" w:hAnsi="Sylfaen" w:cs="Sylfaen"/>
          <w:szCs w:val="22"/>
          <w:lang w:val="ka-GE"/>
        </w:rPr>
        <w:t>.</w:t>
      </w: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>
        <w:rPr>
          <w:rFonts w:ascii="Sylfaen" w:hAnsi="Sylfaen" w:cs="Sylfaen"/>
          <w:b/>
          <w:szCs w:val="22"/>
          <w:lang w:val="ka-GE"/>
        </w:rPr>
        <w:t>ერთ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5F2A53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>
        <w:rPr>
          <w:rFonts w:ascii="Sylfaen" w:hAnsi="Sylfaen" w:cs="Sylfaen"/>
          <w:lang w:val="ka-GE"/>
        </w:rPr>
        <w:t xml:space="preserve">შერჩევის პროცესის </w:t>
      </w:r>
      <w:r w:rsidR="00123D48">
        <w:rPr>
          <w:rFonts w:ascii="Sylfaen" w:hAnsi="Sylfaen" w:cs="Sylfaen"/>
          <w:lang w:val="ka-GE"/>
        </w:rPr>
        <w:t>ჩატარდება</w:t>
      </w:r>
      <w:r w:rsidR="00A71427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3509E3" w:rsidRDefault="00D048D8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3509E3">
        <w:rPr>
          <w:rFonts w:ascii="Sylfaen" w:hAnsi="Sylfaen" w:cs="Sylfaen"/>
          <w:lang w:val="ka-GE"/>
        </w:rPr>
        <w:t xml:space="preserve"> </w:t>
      </w:r>
      <w:r w:rsidR="00F508F8">
        <w:rPr>
          <w:rFonts w:ascii="Sylfaen" w:hAnsi="Sylfaen" w:cs="Sylfaen"/>
          <w:lang w:val="ka-GE"/>
        </w:rPr>
        <w:t>202</w:t>
      </w:r>
      <w:r w:rsidR="00300FDE">
        <w:rPr>
          <w:rFonts w:ascii="Sylfaen" w:hAnsi="Sylfaen" w:cs="Sylfaen"/>
          <w:lang w:val="ka-GE"/>
        </w:rPr>
        <w:t>6</w:t>
      </w:r>
      <w:r w:rsidR="00461B89" w:rsidRPr="003509E3">
        <w:rPr>
          <w:rFonts w:ascii="Sylfaen" w:hAnsi="Sylfaen" w:cs="Sylfaen"/>
          <w:lang w:val="ka-GE"/>
        </w:rPr>
        <w:t xml:space="preserve"> წლის</w:t>
      </w:r>
      <w:r w:rsidRPr="003509E3">
        <w:rPr>
          <w:rFonts w:ascii="Sylfaen" w:hAnsi="Sylfaen" w:cs="Sylfaen"/>
          <w:lang w:val="ka-GE"/>
        </w:rPr>
        <w:t xml:space="preserve"> </w:t>
      </w:r>
      <w:r w:rsidR="00300FDE">
        <w:rPr>
          <w:rFonts w:ascii="Sylfaen" w:hAnsi="Sylfaen" w:cs="Sylfaen"/>
          <w:lang w:val="ka-GE"/>
        </w:rPr>
        <w:t>25</w:t>
      </w:r>
      <w:r w:rsidR="00F508F8">
        <w:rPr>
          <w:rFonts w:ascii="Sylfaen" w:hAnsi="Sylfaen" w:cs="Sylfaen"/>
          <w:lang w:val="ka-GE"/>
        </w:rPr>
        <w:t xml:space="preserve"> </w:t>
      </w:r>
      <w:r w:rsidR="00300FDE">
        <w:rPr>
          <w:rFonts w:ascii="Sylfaen" w:hAnsi="Sylfaen" w:cs="Sylfaen"/>
          <w:lang w:val="ka-GE"/>
        </w:rPr>
        <w:t>მარტისა</w:t>
      </w:r>
      <w:r w:rsidR="009735D4">
        <w:rPr>
          <w:rFonts w:ascii="Sylfaen" w:hAnsi="Sylfaen" w:cs="Sylfaen"/>
          <w:lang w:val="ka-GE"/>
        </w:rPr>
        <w:t>.</w:t>
      </w:r>
      <w:r w:rsidR="00CF0491" w:rsidRPr="003509E3">
        <w:rPr>
          <w:rFonts w:ascii="Sylfaen" w:hAnsi="Sylfaen" w:cs="Sylfaen"/>
          <w:lang w:val="ka-GE"/>
        </w:rPr>
        <w:t xml:space="preserve"> </w:t>
      </w:r>
      <w:r w:rsidR="003151ED" w:rsidRPr="003509E3">
        <w:rPr>
          <w:rFonts w:ascii="Sylfaen" w:hAnsi="Sylfaen" w:cs="Sylfaen"/>
          <w:lang w:val="ka-GE"/>
        </w:rPr>
        <w:t xml:space="preserve"> </w:t>
      </w:r>
    </w:p>
    <w:p w:rsidR="003F68FB" w:rsidRPr="003509E3" w:rsidRDefault="00CF0491" w:rsidP="00887404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3509E3">
        <w:rPr>
          <w:rFonts w:ascii="Sylfaen" w:hAnsi="Sylfaen" w:cs="Sylfaen"/>
          <w:lang w:val="ka-GE"/>
        </w:rPr>
        <w:t>სა</w:t>
      </w:r>
      <w:r w:rsidR="00166156" w:rsidRPr="003509E3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3509E3">
        <w:rPr>
          <w:rFonts w:ascii="Sylfaen" w:hAnsi="Sylfaen" w:cs="Sylfaen"/>
          <w:lang w:val="ka-GE"/>
        </w:rPr>
        <w:t xml:space="preserve">შერჩეულ </w:t>
      </w:r>
      <w:r w:rsidR="008B4CA4" w:rsidRPr="003509E3">
        <w:rPr>
          <w:rFonts w:ascii="Sylfaen" w:hAnsi="Sylfaen" w:cs="Sylfaen"/>
          <w:lang w:val="ka-GE"/>
        </w:rPr>
        <w:t>პრეტენდენტ</w:t>
      </w:r>
      <w:r w:rsidR="003E21A9" w:rsidRPr="003509E3">
        <w:rPr>
          <w:rFonts w:ascii="Sylfaen" w:hAnsi="Sylfaen" w:cs="Sylfaen"/>
          <w:lang w:val="ka-GE"/>
        </w:rPr>
        <w:t>/ებ/</w:t>
      </w:r>
      <w:r w:rsidR="008B4CA4" w:rsidRPr="003509E3">
        <w:rPr>
          <w:rFonts w:ascii="Sylfaen" w:hAnsi="Sylfaen" w:cs="Sylfaen"/>
          <w:lang w:val="ka-GE"/>
        </w:rPr>
        <w:t>თან</w:t>
      </w:r>
      <w:r w:rsidR="00A03860" w:rsidRPr="003509E3">
        <w:rPr>
          <w:rFonts w:ascii="Sylfaen" w:hAnsi="Sylfaen" w:cs="Sylfaen"/>
          <w:lang w:val="ka-GE"/>
        </w:rPr>
        <w:t xml:space="preserve"> </w:t>
      </w:r>
      <w:r w:rsidR="007F5C34" w:rsidRPr="003509E3">
        <w:rPr>
          <w:rFonts w:ascii="Sylfaen" w:hAnsi="Sylfaen" w:cs="Sylfaen"/>
          <w:lang w:val="ka-GE"/>
        </w:rPr>
        <w:t xml:space="preserve">ჩატარდება </w:t>
      </w:r>
      <w:r w:rsidR="000577EF" w:rsidRPr="003509E3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93128A">
        <w:rPr>
          <w:rFonts w:ascii="Sylfaen" w:hAnsi="Sylfaen" w:cs="Sylfaen"/>
          <w:szCs w:val="22"/>
          <w:lang w:val="ka-GE"/>
        </w:rPr>
        <w:t xml:space="preserve">ერთ </w:t>
      </w:r>
      <w:r w:rsidR="003E21A9">
        <w:rPr>
          <w:rFonts w:ascii="Sylfaen" w:hAnsi="Sylfaen" w:cs="Sylfaen"/>
          <w:szCs w:val="22"/>
          <w:lang w:val="ka-GE"/>
        </w:rPr>
        <w:t>წლიანი</w:t>
      </w:r>
      <w:r w:rsidR="00A03860">
        <w:rPr>
          <w:rFonts w:ascii="Sylfaen" w:hAnsi="Sylfaen" w:cs="Sylfaen"/>
          <w:szCs w:val="22"/>
          <w:lang w:val="ka-GE"/>
        </w:rPr>
        <w:t xml:space="preserve"> </w:t>
      </w:r>
      <w:r w:rsidR="00CF0491">
        <w:rPr>
          <w:rFonts w:ascii="Sylfaen" w:hAnsi="Sylfaen" w:cs="Sylfaen"/>
          <w:szCs w:val="22"/>
          <w:lang w:val="ka-GE"/>
        </w:rPr>
        <w:t xml:space="preserve">ჩარჩო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BC2B64">
        <w:rPr>
          <w:rFonts w:ascii="Sylfaen" w:hAnsi="Sylfaen" w:cs="Sylfaen"/>
          <w:b/>
          <w:lang w:val="ka-GE"/>
        </w:rPr>
        <w:t>2</w:t>
      </w:r>
      <w:r w:rsidR="00B13D28">
        <w:rPr>
          <w:rFonts w:ascii="Sylfaen" w:hAnsi="Sylfaen" w:cs="Sylfaen"/>
          <w:b/>
          <w:lang w:val="en-US"/>
        </w:rPr>
        <w:t>3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00FDE">
        <w:rPr>
          <w:rFonts w:ascii="Sylfaen" w:hAnsi="Sylfaen" w:cs="Sylfaen"/>
          <w:b/>
          <w:lang w:val="ka-GE"/>
        </w:rPr>
        <w:t>მარტი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300FDE">
        <w:rPr>
          <w:rFonts w:ascii="Sylfaen" w:hAnsi="Sylfaen" w:cs="Sylfaen"/>
          <w:b/>
          <w:lang w:val="ka-GE"/>
        </w:rPr>
        <w:t>6</w:t>
      </w:r>
      <w:r w:rsidR="00CF0491" w:rsidRPr="00CF0491">
        <w:rPr>
          <w:rFonts w:ascii="Sylfaen" w:hAnsi="Sylfaen" w:cs="Sylfaen"/>
          <w:b/>
          <w:lang w:val="ka-GE"/>
        </w:rPr>
        <w:t xml:space="preserve"> წელი</w:t>
      </w:r>
    </w:p>
    <w:p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BC2B64">
        <w:rPr>
          <w:rFonts w:ascii="Sylfaen" w:hAnsi="Sylfaen" w:cs="Sylfaen"/>
          <w:b/>
          <w:lang w:val="ka-GE"/>
        </w:rPr>
        <w:t>2</w:t>
      </w:r>
      <w:r w:rsidR="00300FDE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00FDE">
        <w:rPr>
          <w:rFonts w:ascii="Sylfaen" w:hAnsi="Sylfaen" w:cs="Sylfaen"/>
          <w:b/>
          <w:lang w:val="ka-GE"/>
        </w:rPr>
        <w:t>მარტი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300FDE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C66F4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</w:t>
      </w:r>
      <w:r w:rsidR="008B4CA4" w:rsidRPr="00CF0491">
        <w:rPr>
          <w:rFonts w:ascii="Sylfaen" w:hAnsi="Sylfaen" w:cs="Sylfaen"/>
          <w:lang w:val="ka-GE"/>
        </w:rPr>
        <w:t>პრეტენდენტ/ებ/ის</w:t>
      </w:r>
      <w:r w:rsidRPr="00CF0491">
        <w:rPr>
          <w:rFonts w:ascii="Sylfaen" w:hAnsi="Sylfaen" w:cs="Sylfaen"/>
          <w:lang w:val="ka-GE"/>
        </w:rPr>
        <w:t xml:space="preserve"> შ</w:t>
      </w:r>
      <w:r w:rsidR="000D32F4" w:rsidRPr="00CF0491">
        <w:rPr>
          <w:rFonts w:ascii="Sylfaen" w:hAnsi="Sylfaen" w:cs="Sylfaen"/>
          <w:lang w:val="ka-GE"/>
        </w:rPr>
        <w:t>ერჩევა და შეტყობინების გაგზავნა</w:t>
      </w:r>
      <w:r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</w:t>
      </w:r>
      <w:r w:rsidR="00300FDE">
        <w:rPr>
          <w:rFonts w:ascii="Sylfaen" w:hAnsi="Sylfaen" w:cs="Sylfaen"/>
          <w:lang w:val="ka-GE"/>
        </w:rPr>
        <w:t>27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00FDE">
        <w:rPr>
          <w:rFonts w:ascii="Sylfaen" w:hAnsi="Sylfaen" w:cs="Sylfaen"/>
          <w:b/>
          <w:lang w:val="ka-GE"/>
        </w:rPr>
        <w:t>მარტი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300FDE">
        <w:rPr>
          <w:rFonts w:ascii="Sylfaen" w:hAnsi="Sylfaen" w:cs="Sylfaen"/>
          <w:b/>
          <w:lang w:val="ka-GE"/>
        </w:rPr>
        <w:t>6</w:t>
      </w:r>
    </w:p>
    <w:p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</w:t>
      </w:r>
      <w:r w:rsidR="00300FDE">
        <w:rPr>
          <w:rFonts w:ascii="Sylfaen" w:hAnsi="Sylfaen" w:cs="Sylfaen"/>
          <w:b/>
          <w:lang w:val="ka-GE"/>
        </w:rPr>
        <w:t>1</w:t>
      </w:r>
      <w:r w:rsidR="003509E3">
        <w:rPr>
          <w:rFonts w:ascii="Sylfaen" w:hAnsi="Sylfaen" w:cs="Sylfaen"/>
          <w:b/>
          <w:lang w:val="ka-GE"/>
        </w:rPr>
        <w:t xml:space="preserve"> </w:t>
      </w:r>
      <w:r w:rsidR="00300FDE">
        <w:rPr>
          <w:rFonts w:ascii="Sylfaen" w:hAnsi="Sylfaen" w:cs="Sylfaen"/>
          <w:b/>
          <w:lang w:val="ka-GE"/>
        </w:rPr>
        <w:t>აპრილი</w:t>
      </w:r>
      <w:r w:rsidR="00F508F8">
        <w:rPr>
          <w:rFonts w:ascii="Sylfaen" w:hAnsi="Sylfaen" w:cs="Sylfaen"/>
          <w:b/>
          <w:lang w:val="ka-GE"/>
        </w:rPr>
        <w:t xml:space="preserve"> 202</w:t>
      </w:r>
      <w:r w:rsidR="00300FDE">
        <w:rPr>
          <w:rFonts w:ascii="Sylfaen" w:hAnsi="Sylfaen" w:cs="Sylfaen"/>
          <w:b/>
          <w:lang w:val="ka-GE"/>
        </w:rPr>
        <w:t>5</w:t>
      </w:r>
      <w:r w:rsidR="00F508F8">
        <w:rPr>
          <w:rFonts w:ascii="Sylfaen" w:hAnsi="Sylfaen" w:cs="Sylfaen"/>
          <w:b/>
          <w:lang w:val="ka-GE"/>
        </w:rPr>
        <w:t xml:space="preserve"> </w:t>
      </w:r>
      <w:r w:rsidR="003509E3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:rsidR="000648F9" w:rsidRPr="00B314DE" w:rsidRDefault="003509E3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3509E3">
        <w:rPr>
          <w:rFonts w:ascii="Sylfaen" w:hAnsi="Sylfaen"/>
          <w:b/>
          <w:i/>
          <w:iCs/>
          <w:color w:val="FF0000"/>
          <w:u w:val="single"/>
          <w:lang w:val="ka-GE"/>
        </w:rPr>
        <w:t>ზემოთ აღნიშნული კომპანიი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3509E3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ნ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გასაწევ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lastRenderedPageBreak/>
        <w:t>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კომპა</w:t>
      </w:r>
      <w:r w:rsidR="003509E3">
        <w:rPr>
          <w:rFonts w:ascii="Sylfaen" w:hAnsi="Sylfaen" w:cs="Sylfaen"/>
          <w:b/>
          <w:i/>
          <w:color w:val="FF0000"/>
          <w:u w:val="single"/>
          <w:lang w:val="ka-GE"/>
        </w:rPr>
        <w:t>ნია პ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>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Pr="00600711" w:rsidRDefault="00C66F4D" w:rsidP="0060071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ინფორმაცია </w:t>
      </w:r>
      <w:r w:rsidR="009A00B3">
        <w:rPr>
          <w:rFonts w:ascii="Sylfaen" w:hAnsi="Sylfaen" w:cs="Sylfaen"/>
          <w:b/>
          <w:lang w:val="ka-GE"/>
        </w:rPr>
        <w:t xml:space="preserve">პრეტენდენტის </w:t>
      </w:r>
      <w:r w:rsidR="00600711">
        <w:rPr>
          <w:rFonts w:ascii="Sylfaen" w:hAnsi="Sylfaen" w:cs="Sylfaen"/>
          <w:b/>
          <w:lang w:val="ka-GE"/>
        </w:rPr>
        <w:t>შესახებ</w:t>
      </w: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D2" w:rsidRDefault="004545D2">
      <w:r>
        <w:separator/>
      </w:r>
    </w:p>
  </w:endnote>
  <w:endnote w:type="continuationSeparator" w:id="0">
    <w:p w:rsidR="004545D2" w:rsidRDefault="0045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D70579">
      <w:rPr>
        <w:noProof/>
      </w:rPr>
      <w:t>1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D70579">
      <w:rPr>
        <w:noProof/>
      </w:rPr>
      <w:t>5</w:t>
    </w:r>
    <w:r w:rsidR="0048181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79" w:rsidRDefault="00D70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D2" w:rsidRDefault="004545D2">
      <w:r>
        <w:separator/>
      </w:r>
    </w:p>
  </w:footnote>
  <w:footnote w:type="continuationSeparator" w:id="0">
    <w:p w:rsidR="004545D2" w:rsidRDefault="0045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79" w:rsidRDefault="00D70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9735D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ფასის გამოკითხვა </w:t>
          </w:r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</w:t>
          </w:r>
          <w:bookmarkStart w:id="0" w:name="_GoBack"/>
          <w:r w:rsidR="00600711" w:rsidRPr="00600711">
            <w:rPr>
              <w:rFonts w:ascii="Sylfaen" w:hAnsi="Sylfaen" w:cs="Sylfaen"/>
              <w:b/>
              <w:bCs/>
              <w:sz w:val="20"/>
              <w:lang w:val="ka-GE"/>
            </w:rPr>
            <w:t xml:space="preserve">"სადაზღვევო კომპანია ალდაგისთვის" </w:t>
          </w:r>
          <w:r w:rsidR="00300FDE">
            <w:rPr>
              <w:rFonts w:ascii="Sylfaen" w:hAnsi="Sylfaen" w:cs="Sylfaen"/>
              <w:b/>
              <w:bCs/>
              <w:sz w:val="20"/>
              <w:lang w:val="ka-GE"/>
            </w:rPr>
            <w:t xml:space="preserve">ავტომობილის შიდა და </w:t>
          </w:r>
          <w:r w:rsidR="00300FDE">
            <w:rPr>
              <w:rFonts w:ascii="Sylfaen" w:hAnsi="Sylfaen" w:cs="Sylfaen"/>
              <w:b/>
              <w:bCs/>
              <w:sz w:val="20"/>
              <w:lang w:val="ka-GE"/>
            </w:rPr>
            <w:t xml:space="preserve">გარე ლაივ კამერების </w:t>
          </w:r>
          <w:r w:rsidR="00D70579">
            <w:rPr>
              <w:rFonts w:ascii="Sylfaen" w:hAnsi="Sylfaen" w:cs="Sylfaen"/>
              <w:b/>
              <w:bCs/>
              <w:sz w:val="20"/>
              <w:lang w:val="ka-GE"/>
            </w:rPr>
            <w:t xml:space="preserve">შესყიდვის </w:t>
          </w:r>
          <w:r w:rsidR="00300FDE">
            <w:rPr>
              <w:rFonts w:ascii="Sylfaen" w:hAnsi="Sylfaen" w:cs="Sylfaen"/>
              <w:b/>
              <w:bCs/>
              <w:sz w:val="20"/>
              <w:lang w:val="ka-GE"/>
            </w:rPr>
            <w:t>შესახებ</w:t>
          </w:r>
          <w:bookmarkEnd w:id="0"/>
        </w:p>
        <w:p w:rsidR="00BC2B64" w:rsidRDefault="00BC2B64" w:rsidP="00F508F8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</w:p>
        <w:p w:rsidR="00F508F8" w:rsidRPr="003F641E" w:rsidRDefault="00F508F8" w:rsidP="00F508F8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79" w:rsidRDefault="00D70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2E77"/>
    <w:rsid w:val="0013472F"/>
    <w:rsid w:val="00134843"/>
    <w:rsid w:val="0013538B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86B53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0FDE"/>
    <w:rsid w:val="0030339E"/>
    <w:rsid w:val="00305379"/>
    <w:rsid w:val="00307F96"/>
    <w:rsid w:val="00310FD7"/>
    <w:rsid w:val="00312079"/>
    <w:rsid w:val="003151ED"/>
    <w:rsid w:val="0031728E"/>
    <w:rsid w:val="00317C73"/>
    <w:rsid w:val="00327681"/>
    <w:rsid w:val="00330281"/>
    <w:rsid w:val="00335544"/>
    <w:rsid w:val="0034715D"/>
    <w:rsid w:val="0035006F"/>
    <w:rsid w:val="003509E3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545D2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C020C"/>
    <w:rsid w:val="004C19F4"/>
    <w:rsid w:val="004C2D58"/>
    <w:rsid w:val="004C42E5"/>
    <w:rsid w:val="004D08B7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105E8"/>
    <w:rsid w:val="00517B73"/>
    <w:rsid w:val="00517C44"/>
    <w:rsid w:val="00522F4B"/>
    <w:rsid w:val="00525CBA"/>
    <w:rsid w:val="005323FC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0711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543F4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5D60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5D4"/>
    <w:rsid w:val="00980DEE"/>
    <w:rsid w:val="00981BFA"/>
    <w:rsid w:val="0098297B"/>
    <w:rsid w:val="00990A29"/>
    <w:rsid w:val="0099370A"/>
    <w:rsid w:val="00994B0C"/>
    <w:rsid w:val="009A00B3"/>
    <w:rsid w:val="009A1FEA"/>
    <w:rsid w:val="009B0622"/>
    <w:rsid w:val="009B2CD7"/>
    <w:rsid w:val="009B57AC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3D28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2B6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0579"/>
    <w:rsid w:val="00D72407"/>
    <w:rsid w:val="00D949BD"/>
    <w:rsid w:val="00D95637"/>
    <w:rsid w:val="00DA241D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CE8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08F8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C2B81"/>
    <w:rsid w:val="00FC4E0F"/>
    <w:rsid w:val="00FC6E30"/>
    <w:rsid w:val="00FC75ED"/>
    <w:rsid w:val="00FD610D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6ACF8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B6E2-5A3E-420E-BC74-ED1B0D28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4903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Natia Tamliani</cp:lastModifiedBy>
  <cp:revision>13</cp:revision>
  <cp:lastPrinted>2009-08-18T11:14:00Z</cp:lastPrinted>
  <dcterms:created xsi:type="dcterms:W3CDTF">2022-03-24T10:26:00Z</dcterms:created>
  <dcterms:modified xsi:type="dcterms:W3CDTF">2026-03-23T12:42:00Z</dcterms:modified>
</cp:coreProperties>
</file>