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E28614E" w14:textId="77777777" w:rsidR="001F3262" w:rsidRPr="001F3262" w:rsidRDefault="00D770D8" w:rsidP="001F3262">
      <w:pPr>
        <w:tabs>
          <w:tab w:val="left" w:pos="1380"/>
        </w:tabs>
        <w:jc w:val="center"/>
        <w:rPr>
          <w:rFonts w:ascii="Sylfaen" w:hAnsi="Sylfaen" w:cs="Sylfaen"/>
          <w:b/>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4C4BA2">
        <w:rPr>
          <w:rFonts w:ascii="Sylfaen" w:hAnsi="Sylfaen" w:cs="Sylfaen"/>
          <w:b/>
          <w:sz w:val="24"/>
          <w:szCs w:val="24"/>
        </w:rPr>
        <w:t>WILO</w:t>
      </w:r>
      <w:r w:rsidR="00B206DC">
        <w:rPr>
          <w:rFonts w:ascii="Sylfaen" w:hAnsi="Sylfaen" w:cs="Sylfaen"/>
          <w:b/>
          <w:sz w:val="24"/>
          <w:szCs w:val="24"/>
        </w:rPr>
        <w:t xml:space="preserve"> Brand</w:t>
      </w:r>
      <w:r w:rsidR="005F4447">
        <w:rPr>
          <w:rFonts w:ascii="Sylfaen" w:hAnsi="Sylfaen" w:cs="Sylfaen"/>
          <w:b/>
          <w:sz w:val="24"/>
          <w:szCs w:val="24"/>
        </w:rPr>
        <w:t xml:space="preserve"> </w:t>
      </w:r>
      <w:r w:rsidR="001F3262" w:rsidRPr="001F3262">
        <w:rPr>
          <w:rFonts w:ascii="Sylfaen" w:hAnsi="Sylfaen" w:cs="Sylfaen"/>
          <w:b/>
          <w:sz w:val="24"/>
          <w:szCs w:val="24"/>
        </w:rPr>
        <w:tab/>
      </w:r>
    </w:p>
    <w:p w14:paraId="5A5785E5" w14:textId="13F75C19" w:rsidR="00B206DC" w:rsidRDefault="001F3262" w:rsidP="001F3262">
      <w:pPr>
        <w:tabs>
          <w:tab w:val="left" w:pos="1380"/>
        </w:tabs>
        <w:jc w:val="center"/>
        <w:rPr>
          <w:rFonts w:ascii="Sylfaen" w:hAnsi="Sylfaen" w:cs="Segoe UI"/>
          <w:sz w:val="24"/>
          <w:szCs w:val="24"/>
        </w:rPr>
      </w:pPr>
      <w:r>
        <w:rPr>
          <w:rFonts w:ascii="Sylfaen" w:hAnsi="Sylfaen" w:cs="Sylfaen"/>
          <w:b/>
          <w:sz w:val="24"/>
          <w:szCs w:val="24"/>
        </w:rPr>
        <w:t>S</w:t>
      </w:r>
      <w:r w:rsidRPr="001F3262">
        <w:rPr>
          <w:rFonts w:ascii="Sylfaen" w:hAnsi="Sylfaen" w:cs="Sylfaen"/>
          <w:b/>
          <w:sz w:val="24"/>
          <w:szCs w:val="24"/>
        </w:rPr>
        <w:t xml:space="preserve">plit </w:t>
      </w:r>
      <w:r>
        <w:rPr>
          <w:rFonts w:ascii="Sylfaen" w:hAnsi="Sylfaen" w:cs="Sylfaen"/>
          <w:b/>
          <w:sz w:val="24"/>
          <w:szCs w:val="24"/>
        </w:rPr>
        <w:t>C</w:t>
      </w:r>
      <w:r w:rsidRPr="001F3262">
        <w:rPr>
          <w:rFonts w:ascii="Sylfaen" w:hAnsi="Sylfaen" w:cs="Sylfaen"/>
          <w:b/>
          <w:sz w:val="24"/>
          <w:szCs w:val="24"/>
        </w:rPr>
        <w:t xml:space="preserve">ase </w:t>
      </w:r>
      <w:r>
        <w:rPr>
          <w:rFonts w:ascii="Sylfaen" w:hAnsi="Sylfaen" w:cs="Sylfaen"/>
          <w:b/>
          <w:sz w:val="24"/>
          <w:szCs w:val="24"/>
        </w:rPr>
        <w:t>P</w:t>
      </w:r>
      <w:r w:rsidRPr="001F3262">
        <w:rPr>
          <w:rFonts w:ascii="Sylfaen" w:hAnsi="Sylfaen" w:cs="Sylfaen"/>
          <w:b/>
          <w:sz w:val="24"/>
          <w:szCs w:val="24"/>
        </w:rPr>
        <w:t>ump</w:t>
      </w: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t>1.1 Name of the procurement object</w:t>
      </w:r>
    </w:p>
    <w:p w14:paraId="1CFDE228" w14:textId="2AE0608D" w:rsidR="00D86993"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1A3604">
        <w:rPr>
          <w:rFonts w:ascii="Sylfaen" w:hAnsi="Sylfaen" w:cs="Sylfaen"/>
          <w:b/>
          <w:bCs/>
          <w:sz w:val="20"/>
          <w:szCs w:val="20"/>
          <w:lang w:val="ka-GE"/>
        </w:rPr>
        <w:t>WILO</w:t>
      </w:r>
      <w:r w:rsidR="00041CEB" w:rsidRPr="00041CEB">
        <w:rPr>
          <w:rFonts w:ascii="Sylfaen" w:hAnsi="Sylfaen" w:cs="Sylfaen"/>
          <w:b/>
          <w:bCs/>
          <w:sz w:val="20"/>
          <w:szCs w:val="20"/>
          <w:lang w:val="ka-GE"/>
        </w:rPr>
        <w:t xml:space="preserve"> Brand </w:t>
      </w:r>
      <w:r w:rsidR="001F3262" w:rsidRPr="001F3262">
        <w:rPr>
          <w:rFonts w:ascii="Sylfaen" w:hAnsi="Sylfaen" w:cs="Sylfaen"/>
          <w:b/>
          <w:bCs/>
          <w:sz w:val="20"/>
          <w:szCs w:val="20"/>
          <w:lang w:val="ka-GE"/>
        </w:rPr>
        <w:t>Split Case Pump</w:t>
      </w:r>
    </w:p>
    <w:p w14:paraId="1A1CF691" w14:textId="77777777" w:rsidR="001F3262" w:rsidRPr="00101424" w:rsidRDefault="001F3262" w:rsidP="00194354">
      <w:pPr>
        <w:spacing w:after="0" w:line="240" w:lineRule="auto"/>
        <w:rPr>
          <w:rFonts w:ascii="Sylfaen" w:hAnsi="Sylfaen"/>
          <w:b/>
          <w:sz w:val="20"/>
          <w:szCs w:val="20"/>
        </w:rPr>
      </w:pPr>
    </w:p>
    <w:p w14:paraId="34214DBB"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4A4A351B"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 xml:space="preserve">Please see Annex 1 </w:t>
      </w:r>
      <w:r w:rsidR="001F3262">
        <w:rPr>
          <w:rFonts w:ascii="Sylfaen" w:hAnsi="Sylfaen" w:cs="Segoe UI"/>
          <w:sz w:val="20"/>
          <w:szCs w:val="20"/>
          <w:u w:val="single"/>
        </w:rPr>
        <w:t xml:space="preserve">and attached photos </w:t>
      </w:r>
      <w:r>
        <w:rPr>
          <w:rFonts w:ascii="Sylfaen" w:hAnsi="Sylfaen" w:cs="Segoe UI"/>
          <w:sz w:val="20"/>
          <w:szCs w:val="20"/>
          <w:u w:val="single"/>
        </w:rPr>
        <w:t>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w:t>
      </w:r>
      <w:proofErr w:type="gramStart"/>
      <w:r w:rsidRPr="004B2DC8">
        <w:rPr>
          <w:rFonts w:ascii="Sylfaen" w:hAnsi="Sylfaen" w:cs="Segoe UI"/>
          <w:sz w:val="20"/>
          <w:szCs w:val="20"/>
        </w:rPr>
        <w:t>) months’</w:t>
      </w:r>
      <w:proofErr w:type="gramEnd"/>
      <w:r w:rsidRPr="004B2DC8">
        <w:rPr>
          <w:rFonts w:ascii="Sylfaen" w:hAnsi="Sylfaen" w:cs="Segoe UI"/>
          <w:sz w:val="20"/>
          <w:szCs w:val="20"/>
        </w:rPr>
        <w:t xml:space="preserve">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51F387C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6ABE7F6" w14:textId="6E7DBC19"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07153C">
        <w:rPr>
          <w:rFonts w:ascii="Sylfaen" w:hAnsi="Sylfaen"/>
          <w:sz w:val="20"/>
          <w:szCs w:val="20"/>
        </w:rPr>
        <w:t>, drawings</w:t>
      </w:r>
      <w:r w:rsidR="00CC1B2E">
        <w:rPr>
          <w:rFonts w:ascii="Sylfaen" w:hAnsi="Sylfaen"/>
          <w:sz w:val="20"/>
          <w:szCs w:val="20"/>
        </w:rPr>
        <w:t>, list of Set Parts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0BEE6A9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47CBCE2"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xml:space="preserve">. Extract from the Register of Entrepreneurs and Non-Entrepreneurial (Non-Commercial) Legal Entities, which must be issued after the announcement of this electronic </w:t>
      </w:r>
      <w:proofErr w:type="gramStart"/>
      <w:r w:rsidR="00B16ACC" w:rsidRPr="00411FDF">
        <w:rPr>
          <w:rFonts w:ascii="Sylfaen" w:hAnsi="Sylfaen"/>
          <w:sz w:val="20"/>
          <w:szCs w:val="20"/>
          <w:lang w:val="ka-GE"/>
        </w:rPr>
        <w:t>tender;</w:t>
      </w:r>
      <w:proofErr w:type="gramEnd"/>
    </w:p>
    <w:p w14:paraId="1F0E582F" w14:textId="77777777" w:rsidR="00B16ACC"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 xml:space="preserve">must be </w:t>
      </w:r>
      <w:proofErr w:type="gramStart"/>
      <w:r w:rsidR="00B16ACC" w:rsidRPr="00411FDF">
        <w:rPr>
          <w:rFonts w:ascii="Sylfaen" w:hAnsi="Sylfaen"/>
          <w:sz w:val="20"/>
          <w:szCs w:val="20"/>
          <w:lang w:val="ka-GE"/>
        </w:rPr>
        <w:t>submitted;</w:t>
      </w:r>
      <w:proofErr w:type="gramEnd"/>
    </w:p>
    <w:p w14:paraId="129BA10E" w14:textId="24CDDF6F" w:rsidR="0062170B" w:rsidRDefault="0062170B" w:rsidP="00194354">
      <w:pPr>
        <w:pStyle w:val="ListParagraph"/>
        <w:spacing w:after="0" w:line="240" w:lineRule="auto"/>
        <w:ind w:left="0"/>
        <w:jc w:val="both"/>
        <w:rPr>
          <w:rFonts w:ascii="Sylfaen" w:hAnsi="Sylfaen"/>
          <w:sz w:val="20"/>
          <w:szCs w:val="20"/>
          <w:lang w:val="ka-GE"/>
        </w:rPr>
      </w:pPr>
      <w:r>
        <w:rPr>
          <w:rFonts w:ascii="Sylfaen" w:hAnsi="Sylfaen"/>
          <w:sz w:val="20"/>
          <w:szCs w:val="20"/>
          <w:lang w:val="ka-GE"/>
        </w:rPr>
        <w:t>8. Filled out compliance questionnaires;</w:t>
      </w:r>
    </w:p>
    <w:p w14:paraId="501DDDAC" w14:textId="77777777" w:rsidR="0062170B" w:rsidRPr="00411FDF" w:rsidRDefault="0062170B" w:rsidP="00194354">
      <w:pPr>
        <w:pStyle w:val="ListParagraph"/>
        <w:spacing w:after="0" w:line="240" w:lineRule="auto"/>
        <w:ind w:left="0"/>
        <w:jc w:val="both"/>
        <w:rPr>
          <w:rFonts w:ascii="Sylfaen" w:hAnsi="Sylfaen"/>
          <w:sz w:val="20"/>
          <w:szCs w:val="20"/>
          <w:lang w:val="ka-GE"/>
        </w:rPr>
      </w:pP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lastRenderedPageBreak/>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3E1D0586"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C57C84">
        <w:rPr>
          <w:rFonts w:ascii="Sylfaen" w:hAnsi="Sylfaen"/>
          <w:b/>
          <w:i/>
          <w:color w:val="FF0000"/>
          <w:sz w:val="20"/>
          <w:szCs w:val="20"/>
          <w:u w:val="single"/>
        </w:rPr>
        <w:t>2</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876025">
        <w:rPr>
          <w:rFonts w:ascii="Sylfaen" w:hAnsi="Sylfaen"/>
          <w:b/>
          <w:i/>
          <w:color w:val="FF0000"/>
          <w:sz w:val="20"/>
          <w:szCs w:val="20"/>
          <w:u w:val="single"/>
        </w:rPr>
        <w:t>PM</w:t>
      </w:r>
      <w:r w:rsidR="0023576D">
        <w:rPr>
          <w:rFonts w:ascii="Sylfaen" w:hAnsi="Sylfaen"/>
          <w:b/>
          <w:i/>
          <w:color w:val="FF0000"/>
          <w:sz w:val="20"/>
          <w:szCs w:val="20"/>
          <w:u w:val="single"/>
        </w:rPr>
        <w:t xml:space="preserve"> (Georgian Time)</w:t>
      </w:r>
      <w:r w:rsidR="00AE6AB4" w:rsidRPr="0023576D">
        <w:rPr>
          <w:rFonts w:ascii="Sylfaen" w:hAnsi="Sylfaen"/>
          <w:b/>
          <w:i/>
          <w:color w:val="FF0000"/>
          <w:sz w:val="20"/>
          <w:szCs w:val="20"/>
          <w:u w:val="single"/>
        </w:rPr>
        <w:t xml:space="preserve"> on </w:t>
      </w:r>
      <w:r w:rsidR="006875DE">
        <w:rPr>
          <w:rFonts w:ascii="Sylfaen" w:hAnsi="Sylfaen"/>
          <w:b/>
          <w:i/>
          <w:color w:val="FF0000"/>
          <w:sz w:val="20"/>
          <w:szCs w:val="20"/>
          <w:u w:val="single"/>
        </w:rPr>
        <w:t>April</w:t>
      </w:r>
      <w:r w:rsidR="00C750D7">
        <w:rPr>
          <w:rFonts w:ascii="Sylfaen" w:hAnsi="Sylfaen"/>
          <w:b/>
          <w:i/>
          <w:color w:val="FF0000"/>
          <w:sz w:val="20"/>
          <w:szCs w:val="20"/>
          <w:u w:val="single"/>
        </w:rPr>
        <w:t xml:space="preserve"> </w:t>
      </w:r>
      <w:r w:rsidR="00C57C84">
        <w:rPr>
          <w:rFonts w:ascii="Sylfaen" w:hAnsi="Sylfaen"/>
          <w:b/>
          <w:i/>
          <w:color w:val="FF0000"/>
          <w:sz w:val="20"/>
          <w:szCs w:val="20"/>
          <w:u w:val="single"/>
        </w:rPr>
        <w:t>7</w:t>
      </w:r>
      <w:r w:rsidR="00C750D7" w:rsidRPr="00C750D7">
        <w:rPr>
          <w:rFonts w:ascii="Sylfaen" w:hAnsi="Sylfaen"/>
          <w:b/>
          <w:i/>
          <w:color w:val="FF0000"/>
          <w:sz w:val="20"/>
          <w:szCs w:val="20"/>
          <w:u w:val="single"/>
          <w:vertAlign w:val="superscript"/>
        </w:rPr>
        <w: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E71B00">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r w:rsidR="006956C6">
        <w:fldChar w:fldCharType="begin"/>
      </w:r>
      <w:r w:rsidR="006956C6">
        <w:instrText>HYPERLINK "http://www.tenders.ge"</w:instrText>
      </w:r>
      <w:r w:rsidR="006956C6">
        <w:fldChar w:fldCharType="separate"/>
      </w:r>
      <w:r w:rsidR="006956C6" w:rsidRPr="00101424">
        <w:rPr>
          <w:rStyle w:val="Hyperlink"/>
          <w:rFonts w:ascii="Sylfaen" w:hAnsi="Sylfaen"/>
          <w:sz w:val="20"/>
          <w:szCs w:val="20"/>
          <w:lang w:val="ka-GE"/>
        </w:rPr>
        <w:t>www.tenders.ge</w:t>
      </w:r>
      <w:r w:rsidR="006956C6">
        <w:fldChar w:fldCharType="end"/>
      </w:r>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836492182" r:id="rId9"/>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lastRenderedPageBreak/>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fldChar w:fldCharType="begin"/>
      </w:r>
      <w:r>
        <w:instrText>HYPERLINK "mailto:kchkheidze@gwp.ge"</w:instrText>
      </w:r>
      <w:r>
        <w:fldChar w:fldCharType="separate"/>
      </w:r>
      <w:r w:rsidRPr="00101424">
        <w:rPr>
          <w:rStyle w:val="Hyperlink"/>
        </w:rPr>
        <w:t>kchkheidze@gwp.ge</w:t>
      </w:r>
      <w:r>
        <w:fldChar w:fldCharType="end"/>
      </w:r>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proofErr w:type="spellStart"/>
      <w:r w:rsidRPr="00101424">
        <w:rPr>
          <w:rFonts w:cs="Arial"/>
        </w:rPr>
        <w:t>ext</w:t>
      </w:r>
      <w:proofErr w:type="spellEnd"/>
      <w:r w:rsidRPr="00101424">
        <w:rPr>
          <w:rFonts w:cs="Arial"/>
        </w:rPr>
        <w:t xml:space="preserve">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2C56C5">
        <w:fldChar w:fldCharType="begin"/>
      </w:r>
      <w:r w:rsidR="002C56C5">
        <w:instrText>HYPERLINK "mailto:mlomtatidze@gwp.ge"</w:instrText>
      </w:r>
      <w:r w:rsidR="002C56C5">
        <w:fldChar w:fldCharType="separate"/>
      </w:r>
      <w:r w:rsidR="002C56C5" w:rsidRPr="00101424">
        <w:rPr>
          <w:rStyle w:val="Hyperlink"/>
          <w:rFonts w:ascii="Sylfaen" w:hAnsi="Sylfaen" w:cs="Sylfaen"/>
          <w:sz w:val="20"/>
          <w:szCs w:val="20"/>
          <w:lang w:val="ka-GE"/>
        </w:rPr>
        <w:t>mlomtatidze@gwp.ge</w:t>
      </w:r>
      <w:r w:rsidR="002C56C5">
        <w:fldChar w:fldCharType="end"/>
      </w:r>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 xml:space="preserve">Personal Data Protection Officer, Head Office,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0"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w:t>
      </w:r>
      <w:proofErr w:type="gramStart"/>
      <w:r w:rsidRPr="00765D44">
        <w:rPr>
          <w:rFonts w:ascii="Sylfaen" w:hAnsi="Sylfaen"/>
          <w:iCs/>
          <w:color w:val="000000"/>
        </w:rPr>
        <w:t>and,</w:t>
      </w:r>
      <w:proofErr w:type="gramEnd"/>
      <w:r w:rsidRPr="00765D44">
        <w:rPr>
          <w:rFonts w:ascii="Sylfaen" w:hAnsi="Sylfaen"/>
          <w:iCs/>
          <w:color w:val="000000"/>
        </w:rPr>
        <w:t xml:space="preserve">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1"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w:t>
      </w:r>
      <w:proofErr w:type="gramStart"/>
      <w:r w:rsidRPr="00765D44">
        <w:rPr>
          <w:rFonts w:ascii="Sylfaen" w:hAnsi="Sylfaen"/>
          <w:iCs/>
          <w:color w:val="000000"/>
        </w:rPr>
        <w:t>identify</w:t>
      </w:r>
      <w:proofErr w:type="gramEnd"/>
      <w:r w:rsidRPr="00765D44">
        <w:rPr>
          <w:rFonts w:ascii="Sylfaen" w:hAnsi="Sylfaen"/>
          <w:iCs/>
          <w:color w:val="000000"/>
        </w:rPr>
        <w:t xml:space="preserve">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2"/>
      <w:footerReference w:type="default" r:id="rId13"/>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D74E" w14:textId="77777777" w:rsidR="00EA5CD3" w:rsidRDefault="00EA5CD3">
      <w:pPr>
        <w:spacing w:after="0" w:line="240" w:lineRule="auto"/>
      </w:pPr>
      <w:r>
        <w:separator/>
      </w:r>
    </w:p>
  </w:endnote>
  <w:endnote w:type="continuationSeparator" w:id="0">
    <w:p w14:paraId="60D5A778" w14:textId="77777777" w:rsidR="00EA5CD3" w:rsidRDefault="00EA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4592" w14:textId="77777777" w:rsidR="00EA5CD3" w:rsidRDefault="00EA5CD3">
      <w:pPr>
        <w:spacing w:after="0" w:line="240" w:lineRule="auto"/>
      </w:pPr>
      <w:r>
        <w:separator/>
      </w:r>
    </w:p>
  </w:footnote>
  <w:footnote w:type="continuationSeparator" w:id="0">
    <w:p w14:paraId="41B5231C" w14:textId="77777777" w:rsidR="00EA5CD3" w:rsidRDefault="00EA5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0752"/>
    <w:rsid w:val="0007153C"/>
    <w:rsid w:val="00094629"/>
    <w:rsid w:val="000D0CC8"/>
    <w:rsid w:val="000D6419"/>
    <w:rsid w:val="00101424"/>
    <w:rsid w:val="001125D9"/>
    <w:rsid w:val="0014521C"/>
    <w:rsid w:val="00153CF9"/>
    <w:rsid w:val="00185B24"/>
    <w:rsid w:val="00194354"/>
    <w:rsid w:val="00195C6C"/>
    <w:rsid w:val="001A3604"/>
    <w:rsid w:val="001A6E96"/>
    <w:rsid w:val="001F3262"/>
    <w:rsid w:val="0023576D"/>
    <w:rsid w:val="00296682"/>
    <w:rsid w:val="002C3338"/>
    <w:rsid w:val="002C56C5"/>
    <w:rsid w:val="002F02C4"/>
    <w:rsid w:val="00305CEE"/>
    <w:rsid w:val="003571BA"/>
    <w:rsid w:val="00371659"/>
    <w:rsid w:val="003737FC"/>
    <w:rsid w:val="00374482"/>
    <w:rsid w:val="003F2858"/>
    <w:rsid w:val="00411FDF"/>
    <w:rsid w:val="00453E29"/>
    <w:rsid w:val="004923A1"/>
    <w:rsid w:val="004B2DC8"/>
    <w:rsid w:val="004C4BA2"/>
    <w:rsid w:val="004D3192"/>
    <w:rsid w:val="004E7A7C"/>
    <w:rsid w:val="00531B90"/>
    <w:rsid w:val="00567FA6"/>
    <w:rsid w:val="00571CB1"/>
    <w:rsid w:val="00585F5B"/>
    <w:rsid w:val="005C09CE"/>
    <w:rsid w:val="005D6EDE"/>
    <w:rsid w:val="005F4447"/>
    <w:rsid w:val="0062170B"/>
    <w:rsid w:val="00660C06"/>
    <w:rsid w:val="006875DE"/>
    <w:rsid w:val="006956C6"/>
    <w:rsid w:val="00723C2B"/>
    <w:rsid w:val="007475A3"/>
    <w:rsid w:val="00750CD8"/>
    <w:rsid w:val="0076144A"/>
    <w:rsid w:val="007662F9"/>
    <w:rsid w:val="007F6A4B"/>
    <w:rsid w:val="00813222"/>
    <w:rsid w:val="008271B5"/>
    <w:rsid w:val="008427EB"/>
    <w:rsid w:val="00846F2E"/>
    <w:rsid w:val="00876025"/>
    <w:rsid w:val="008765EF"/>
    <w:rsid w:val="0089139B"/>
    <w:rsid w:val="0089264E"/>
    <w:rsid w:val="008E627C"/>
    <w:rsid w:val="009245CA"/>
    <w:rsid w:val="00936D82"/>
    <w:rsid w:val="009675C4"/>
    <w:rsid w:val="00972BC9"/>
    <w:rsid w:val="009B2627"/>
    <w:rsid w:val="009C39C7"/>
    <w:rsid w:val="00A06057"/>
    <w:rsid w:val="00AE5DB4"/>
    <w:rsid w:val="00AE6AB4"/>
    <w:rsid w:val="00B0759C"/>
    <w:rsid w:val="00B16ACC"/>
    <w:rsid w:val="00B206DC"/>
    <w:rsid w:val="00B309A1"/>
    <w:rsid w:val="00B84869"/>
    <w:rsid w:val="00BA4AC7"/>
    <w:rsid w:val="00BD39DD"/>
    <w:rsid w:val="00BD3A32"/>
    <w:rsid w:val="00C21C78"/>
    <w:rsid w:val="00C37493"/>
    <w:rsid w:val="00C430FE"/>
    <w:rsid w:val="00C54C2E"/>
    <w:rsid w:val="00C57C84"/>
    <w:rsid w:val="00C64674"/>
    <w:rsid w:val="00C750D7"/>
    <w:rsid w:val="00C75DC0"/>
    <w:rsid w:val="00CC1B2E"/>
    <w:rsid w:val="00CD69C4"/>
    <w:rsid w:val="00D465C6"/>
    <w:rsid w:val="00D63EFA"/>
    <w:rsid w:val="00D770D8"/>
    <w:rsid w:val="00D86993"/>
    <w:rsid w:val="00D9054F"/>
    <w:rsid w:val="00DA2EDF"/>
    <w:rsid w:val="00DA73B1"/>
    <w:rsid w:val="00DD5C37"/>
    <w:rsid w:val="00E31F01"/>
    <w:rsid w:val="00E37B92"/>
    <w:rsid w:val="00E42546"/>
    <w:rsid w:val="00E71B00"/>
    <w:rsid w:val="00E81D6B"/>
    <w:rsid w:val="00E9359B"/>
    <w:rsid w:val="00EA2E95"/>
    <w:rsid w:val="00EA5CD3"/>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po@gwp.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9</cp:revision>
  <dcterms:created xsi:type="dcterms:W3CDTF">2026-03-31T14:32:00Z</dcterms:created>
  <dcterms:modified xsi:type="dcterms:W3CDTF">2026-03-31T15:57:00Z</dcterms:modified>
</cp:coreProperties>
</file>