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C02A" w14:textId="327EAF65" w:rsidR="00596A67" w:rsidRDefault="00596A67" w:rsidP="00596A67">
      <w:pPr>
        <w:spacing w:before="120"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Gogni</w:t>
      </w:r>
      <w:proofErr w:type="spellEnd"/>
      <w:r>
        <w:rPr>
          <w:rFonts w:ascii="Arial" w:hAnsi="Arial" w:cs="Arial"/>
        </w:rPr>
        <w:t xml:space="preserve"> Wind Company</w:t>
      </w:r>
      <w:r>
        <w:rPr>
          <w:rFonts w:cs="Arial"/>
          <w:lang w:val="ka-GE"/>
        </w:rPr>
        <w:t xml:space="preserve"> </w:t>
      </w:r>
      <w:r>
        <w:rPr>
          <w:rFonts w:ascii="Arial" w:hAnsi="Arial" w:cs="Arial"/>
        </w:rPr>
        <w:t>LLC</w:t>
      </w:r>
      <w:r w:rsidRPr="00202DB3">
        <w:rPr>
          <w:rFonts w:eastAsia="BatangChe" w:cs="Calibri"/>
          <w:sz w:val="24"/>
          <w:szCs w:val="24"/>
        </w:rPr>
        <w:t xml:space="preserve"> </w:t>
      </w:r>
      <w:r w:rsidRPr="00202DB3">
        <w:rPr>
          <w:rFonts w:ascii="Arial" w:hAnsi="Arial" w:cs="Arial"/>
        </w:rPr>
        <w:t xml:space="preserve">(referred to as the “CLIENT”) is inviting qualified </w:t>
      </w:r>
      <w:r>
        <w:rPr>
          <w:rFonts w:ascii="Arial" w:hAnsi="Arial" w:cs="Arial"/>
        </w:rPr>
        <w:t>Companies</w:t>
      </w:r>
      <w:r w:rsidRPr="00202DB3">
        <w:rPr>
          <w:rFonts w:ascii="Arial" w:hAnsi="Arial" w:cs="Arial"/>
        </w:rPr>
        <w:t xml:space="preserve"> to participate in Tender and requires to prepare technical and commercial proposal (hereinafter referred to as “BID”) from the tender participant (hereinafter referred to as “TENDERER”) </w:t>
      </w:r>
      <w:r w:rsidRPr="008F7B36">
        <w:rPr>
          <w:rFonts w:ascii="Arial" w:hAnsi="Arial" w:cs="Arial"/>
        </w:rPr>
        <w:t>for the Civil Construction Works</w:t>
      </w:r>
      <w:r>
        <w:rPr>
          <w:rFonts w:ascii="Arial" w:hAnsi="Arial" w:cs="Arial"/>
        </w:rPr>
        <w:t xml:space="preserve"> (</w:t>
      </w:r>
      <w:r w:rsidRPr="003C792E">
        <w:rPr>
          <w:rFonts w:ascii="Arial" w:hAnsi="Arial" w:cs="Arial"/>
        </w:rPr>
        <w:t>Roads, Crane Platform Areas, Turbine Foundations</w:t>
      </w:r>
      <w:r>
        <w:rPr>
          <w:rFonts w:ascii="Arial" w:hAnsi="Arial" w:cs="Arial"/>
        </w:rPr>
        <w:t>)</w:t>
      </w:r>
      <w:r w:rsidRPr="003C792E">
        <w:rPr>
          <w:rFonts w:ascii="Arial" w:hAnsi="Arial" w:cs="Arial"/>
        </w:rPr>
        <w:t xml:space="preserve"> </w:t>
      </w:r>
      <w:r w:rsidRPr="008F7B36"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Gogni</w:t>
      </w:r>
      <w:proofErr w:type="spellEnd"/>
      <w:r>
        <w:rPr>
          <w:rFonts w:ascii="Arial" w:hAnsi="Arial" w:cs="Arial"/>
        </w:rPr>
        <w:t xml:space="preserve"> Wind Power Plant</w:t>
      </w:r>
      <w:r w:rsidRPr="008F7B36">
        <w:rPr>
          <w:rFonts w:ascii="Arial" w:hAnsi="Arial" w:cs="Arial"/>
        </w:rPr>
        <w:t>.</w:t>
      </w:r>
    </w:p>
    <w:p w14:paraId="0AF4D9A3" w14:textId="77777777" w:rsidR="00596A67" w:rsidRDefault="00596A67" w:rsidP="00596A67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Tender Package includes: </w:t>
      </w:r>
    </w:p>
    <w:p w14:paraId="6E4DF58A" w14:textId="77777777" w:rsidR="00596A67" w:rsidRPr="00A83414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 w:rsidRPr="00A83414">
        <w:rPr>
          <w:rFonts w:ascii="Arial" w:hAnsi="Arial" w:cs="Arial"/>
        </w:rPr>
        <w:t>Tender Rules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for Bidders</w:t>
      </w:r>
    </w:p>
    <w:p w14:paraId="3FD1993B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Annex 1 – Technical Capacity information of the Tenderer</w:t>
      </w:r>
    </w:p>
    <w:p w14:paraId="66F04E10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Annex 2-   Financial data of the Tenderer</w:t>
      </w:r>
    </w:p>
    <w:p w14:paraId="2BEFAFA7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Annex 3 – Experience, complete and on-going projects</w:t>
      </w:r>
    </w:p>
    <w:p w14:paraId="25326C77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Annex 4 – Definition of Unit Prices</w:t>
      </w:r>
    </w:p>
    <w:p w14:paraId="1A77E00F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Annex 5 – Bill of Quantities (BOQ)</w:t>
      </w:r>
    </w:p>
    <w:p w14:paraId="03DB563A" w14:textId="77777777" w:rsidR="00596A67" w:rsidRDefault="00596A67" w:rsidP="00596A67">
      <w:pPr>
        <w:pStyle w:val="ListParagraph"/>
        <w:numPr>
          <w:ilvl w:val="0"/>
          <w:numId w:val="1"/>
        </w:numPr>
        <w:spacing w:before="120" w:after="240"/>
        <w:rPr>
          <w:rFonts w:ascii="Arial" w:hAnsi="Arial" w:cs="Arial"/>
        </w:rPr>
      </w:pPr>
      <w:r w:rsidRPr="008438B6">
        <w:rPr>
          <w:rFonts w:ascii="Arial" w:hAnsi="Arial" w:cs="Arial"/>
        </w:rPr>
        <w:t>Annex 6 – Technical Specifications</w:t>
      </w:r>
      <w:r>
        <w:rPr>
          <w:rFonts w:ascii="Arial" w:hAnsi="Arial" w:cs="Arial"/>
        </w:rPr>
        <w:t xml:space="preserve"> of the Works</w:t>
      </w:r>
    </w:p>
    <w:p w14:paraId="10879A15" w14:textId="77777777" w:rsidR="00596A67" w:rsidRPr="008438B6" w:rsidRDefault="00596A67" w:rsidP="00596A67">
      <w:pPr>
        <w:pStyle w:val="ListParagraph"/>
        <w:spacing w:before="120" w:after="240"/>
        <w:rPr>
          <w:rFonts w:ascii="Arial" w:hAnsi="Arial" w:cs="Arial"/>
        </w:rPr>
      </w:pPr>
    </w:p>
    <w:p w14:paraId="6FD1981C" w14:textId="77777777" w:rsidR="00596A67" w:rsidRPr="00596A67" w:rsidRDefault="00596A67" w:rsidP="00596A67">
      <w:pPr>
        <w:rPr>
          <w:rFonts w:ascii="Arial" w:hAnsi="Arial" w:cs="Arial"/>
        </w:rPr>
      </w:pPr>
      <w:r w:rsidRPr="00596A67">
        <w:rPr>
          <w:rFonts w:ascii="Arial" w:hAnsi="Arial" w:cs="Arial"/>
        </w:rPr>
        <w:t>BID must be submitted in line with the instructions provided within this tender package.</w:t>
      </w:r>
    </w:p>
    <w:p w14:paraId="56C54C7A" w14:textId="77777777" w:rsidR="00596A67" w:rsidRPr="00596A67" w:rsidRDefault="00596A67" w:rsidP="00596A67">
      <w:pPr>
        <w:rPr>
          <w:rFonts w:ascii="Arial" w:hAnsi="Arial" w:cs="Arial"/>
        </w:rPr>
      </w:pPr>
      <w:bookmarkStart w:id="0" w:name="_Toc59809699"/>
      <w:r w:rsidRPr="00596A67">
        <w:rPr>
          <w:rFonts w:ascii="Arial" w:hAnsi="Arial" w:cs="Arial"/>
        </w:rPr>
        <w:t>Tender BID must remain valid for a period of 60 days after the deadline for submitting tenders</w:t>
      </w:r>
      <w:bookmarkEnd w:id="0"/>
      <w:r w:rsidRPr="00596A67">
        <w:rPr>
          <w:rFonts w:ascii="Arial" w:hAnsi="Arial" w:cs="Arial"/>
        </w:rPr>
        <w:t>.</w:t>
      </w:r>
      <w:bookmarkStart w:id="1" w:name="_Toc59809697"/>
    </w:p>
    <w:bookmarkEnd w:id="1"/>
    <w:p w14:paraId="6A13CA25" w14:textId="4B290149" w:rsidR="00596A67" w:rsidRPr="00596A67" w:rsidRDefault="00596A67" w:rsidP="00596A67">
      <w:pPr>
        <w:rPr>
          <w:rFonts w:ascii="Arial" w:hAnsi="Arial" w:cs="Arial"/>
        </w:rPr>
      </w:pPr>
      <w:r w:rsidRPr="00596A67">
        <w:rPr>
          <w:rFonts w:ascii="Arial" w:hAnsi="Arial" w:cs="Arial"/>
        </w:rPr>
        <w:t xml:space="preserve">Tender Bid Submission Deadline </w:t>
      </w:r>
      <w:r>
        <w:rPr>
          <w:rFonts w:ascii="Arial" w:hAnsi="Arial" w:cs="Arial"/>
        </w:rPr>
        <w:t xml:space="preserve">is the </w:t>
      </w:r>
      <w:r w:rsidRPr="00596A67">
        <w:rPr>
          <w:rFonts w:ascii="Arial" w:hAnsi="Arial" w:cs="Arial"/>
        </w:rPr>
        <w:t>4</w:t>
      </w:r>
      <w:r w:rsidRPr="00596A67">
        <w:rPr>
          <w:rFonts w:ascii="Arial" w:hAnsi="Arial" w:cs="Arial"/>
          <w:vertAlign w:val="superscript"/>
        </w:rPr>
        <w:t>th</w:t>
      </w:r>
      <w:r w:rsidRPr="00596A67">
        <w:rPr>
          <w:rFonts w:ascii="Arial" w:hAnsi="Arial" w:cs="Arial"/>
        </w:rPr>
        <w:t xml:space="preserve"> of May 2026. Proposals are to be uploaded on www.tenders.ge as per instruction of the web portal</w:t>
      </w:r>
    </w:p>
    <w:p w14:paraId="330EF6B7" w14:textId="77777777" w:rsidR="001E79C3" w:rsidRDefault="001E79C3" w:rsidP="001E79C3">
      <w:pPr>
        <w:spacing w:before="120" w:after="240"/>
        <w:rPr>
          <w:rFonts w:cstheme="minorHAnsi"/>
          <w:lang w:val="ka-GE"/>
        </w:rPr>
      </w:pPr>
    </w:p>
    <w:p w14:paraId="78FD529E" w14:textId="1581E3DB" w:rsidR="001E79C3" w:rsidRDefault="001E79C3" w:rsidP="001E79C3">
      <w:pPr>
        <w:spacing w:before="120" w:after="240"/>
        <w:rPr>
          <w:rFonts w:cstheme="minorHAnsi"/>
          <w:lang w:val="ka-GE"/>
        </w:rPr>
      </w:pPr>
      <w:r>
        <w:rPr>
          <w:rFonts w:cstheme="minorHAnsi"/>
          <w:lang w:val="ka-GE"/>
        </w:rPr>
        <w:t>შპს გოგნის ქარის კომპანია (</w:t>
      </w:r>
      <w:r>
        <w:rPr>
          <w:rFonts w:ascii="Sylfaen" w:hAnsi="Sylfaen" w:cs="Sylfaen"/>
          <w:lang w:val="ka-GE"/>
        </w:rPr>
        <w:t>404643418</w:t>
      </w:r>
      <w:r>
        <w:rPr>
          <w:rFonts w:cstheme="minorHAnsi"/>
          <w:lang w:val="ka-GE"/>
        </w:rPr>
        <w:t>)</w:t>
      </w:r>
      <w:r w:rsidRPr="00C904CF">
        <w:rPr>
          <w:rFonts w:cstheme="minorHAnsi"/>
          <w:lang w:val="ka-GE"/>
        </w:rPr>
        <w:t xml:space="preserve"> აცხადებს ტენდერს სამშენებლო სამუშაოების შესრულებაზე</w:t>
      </w:r>
      <w:r>
        <w:rPr>
          <w:rFonts w:cstheme="minorHAnsi"/>
        </w:rPr>
        <w:t xml:space="preserve"> (</w:t>
      </w:r>
      <w:r>
        <w:rPr>
          <w:rFonts w:cstheme="minorHAnsi"/>
          <w:lang w:val="ka-GE"/>
        </w:rPr>
        <w:t>გზების, ამწე მექანიზმების პლატფორმების, ტურბინა გენერატორის საძირკვლების/ფუნდამენტების)</w:t>
      </w:r>
      <w:r w:rsidRPr="00C904CF">
        <w:rPr>
          <w:rFonts w:cstheme="minorHAnsi"/>
          <w:lang w:val="ka-GE"/>
        </w:rPr>
        <w:t>. დამკვეთი იწვევს კვალიფიციურ კომპანიებს დაინტერესების შემთხვევაში გამოაგზავნონ სატენდერო წინადადება.</w:t>
      </w:r>
    </w:p>
    <w:p w14:paraId="29577F65" w14:textId="77777777" w:rsidR="001E79C3" w:rsidRDefault="001E79C3" w:rsidP="001E79C3">
      <w:pPr>
        <w:spacing w:after="0"/>
        <w:rPr>
          <w:rFonts w:cstheme="minorHAnsi"/>
          <w:lang w:val="ka-GE"/>
        </w:rPr>
      </w:pPr>
      <w:r w:rsidRPr="00C904CF">
        <w:rPr>
          <w:rFonts w:cstheme="minorHAnsi"/>
          <w:lang w:val="ka-GE"/>
        </w:rPr>
        <w:t>სატენდერო დოკუმენტაცია მოიცავს:</w:t>
      </w:r>
    </w:p>
    <w:p w14:paraId="1CBF133F" w14:textId="77777777" w:rsidR="001E79C3" w:rsidRPr="00C904CF" w:rsidRDefault="001E79C3" w:rsidP="001E79C3">
      <w:pPr>
        <w:spacing w:after="0"/>
        <w:rPr>
          <w:rFonts w:cstheme="minorHAnsi"/>
          <w:lang w:val="ka-GE"/>
        </w:rPr>
      </w:pPr>
    </w:p>
    <w:p w14:paraId="69520B49" w14:textId="77777777" w:rsidR="001E79C3" w:rsidRPr="00C904CF" w:rsidRDefault="001E79C3" w:rsidP="001E79C3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ka-GE"/>
        </w:rPr>
      </w:pPr>
      <w:r w:rsidRPr="00C904CF">
        <w:rPr>
          <w:rFonts w:asciiTheme="minorHAnsi" w:hAnsiTheme="minorHAnsi" w:cstheme="minorHAnsi"/>
          <w:lang w:val="ka-GE"/>
        </w:rPr>
        <w:t>ტენდერში მონაწილეობის წესებ</w:t>
      </w:r>
      <w:r>
        <w:rPr>
          <w:rFonts w:asciiTheme="minorHAnsi" w:hAnsiTheme="minorHAnsi" w:cstheme="minorHAnsi"/>
          <w:lang w:val="ka-GE"/>
        </w:rPr>
        <w:t>ი</w:t>
      </w:r>
      <w:r w:rsidRPr="00C904CF">
        <w:rPr>
          <w:rFonts w:asciiTheme="minorHAnsi" w:hAnsiTheme="minorHAnsi" w:cstheme="minorHAnsi"/>
          <w:lang w:val="ka-GE"/>
        </w:rPr>
        <w:t xml:space="preserve"> </w:t>
      </w:r>
    </w:p>
    <w:p w14:paraId="0B87E097" w14:textId="77777777" w:rsidR="001E79C3" w:rsidRPr="00C904CF" w:rsidRDefault="001E79C3" w:rsidP="001E79C3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ka-GE"/>
        </w:rPr>
      </w:pPr>
      <w:r w:rsidRPr="00C904CF">
        <w:rPr>
          <w:rFonts w:asciiTheme="minorHAnsi" w:hAnsiTheme="minorHAnsi" w:cstheme="minorHAnsi"/>
          <w:lang w:val="ka-GE"/>
        </w:rPr>
        <w:t>დანართი №1 ტექნიკური მონაცემები მონაწილის შესახებ</w:t>
      </w:r>
    </w:p>
    <w:p w14:paraId="76BFB800" w14:textId="77777777" w:rsidR="001E79C3" w:rsidRPr="00C904CF" w:rsidRDefault="001E79C3" w:rsidP="001E79C3">
      <w:pPr>
        <w:pStyle w:val="NoSpacing"/>
        <w:numPr>
          <w:ilvl w:val="0"/>
          <w:numId w:val="3"/>
        </w:numPr>
        <w:spacing w:before="40" w:after="40"/>
        <w:rPr>
          <w:rFonts w:eastAsiaTheme="minorHAnsi" w:cstheme="minorHAnsi"/>
          <w:lang w:val="ka-GE"/>
        </w:rPr>
      </w:pPr>
      <w:r w:rsidRPr="00C904CF">
        <w:rPr>
          <w:rFonts w:eastAsiaTheme="minorHAnsi" w:cstheme="minorHAnsi"/>
          <w:lang w:val="ka-GE"/>
        </w:rPr>
        <w:t>დანართი №2  ფინანსური მონაცემები მონაწილე კომპანიის შესახებ</w:t>
      </w:r>
    </w:p>
    <w:p w14:paraId="3402CC37" w14:textId="77777777" w:rsidR="001E79C3" w:rsidRPr="00C904CF" w:rsidRDefault="001E79C3" w:rsidP="001E79C3">
      <w:pPr>
        <w:pStyle w:val="NoSpacing"/>
        <w:numPr>
          <w:ilvl w:val="0"/>
          <w:numId w:val="3"/>
        </w:numPr>
        <w:spacing w:before="40" w:after="40"/>
        <w:rPr>
          <w:rFonts w:eastAsiaTheme="minorHAnsi" w:cstheme="minorHAnsi"/>
          <w:lang w:val="ka-GE"/>
        </w:rPr>
      </w:pPr>
      <w:r w:rsidRPr="00C904CF">
        <w:rPr>
          <w:rFonts w:eastAsiaTheme="minorHAnsi" w:cstheme="minorHAnsi"/>
          <w:lang w:val="ka-GE"/>
        </w:rPr>
        <w:t>დანართი №3  გამოცდილება, შესრულებული და მიმდინარე სამუშაოების ჩამონათვალი</w:t>
      </w:r>
    </w:p>
    <w:p w14:paraId="6A612954" w14:textId="77777777" w:rsidR="001E79C3" w:rsidRDefault="001E79C3" w:rsidP="001E79C3">
      <w:pPr>
        <w:pStyle w:val="NoSpacing"/>
        <w:numPr>
          <w:ilvl w:val="0"/>
          <w:numId w:val="3"/>
        </w:numPr>
        <w:spacing w:before="40" w:after="40"/>
        <w:rPr>
          <w:rFonts w:eastAsiaTheme="minorHAnsi" w:cstheme="minorHAnsi"/>
          <w:lang w:val="ka-GE"/>
        </w:rPr>
      </w:pPr>
      <w:r w:rsidRPr="00C904CF">
        <w:rPr>
          <w:rFonts w:eastAsiaTheme="minorHAnsi" w:cstheme="minorHAnsi"/>
          <w:lang w:val="ka-GE"/>
        </w:rPr>
        <w:t>დანართი №</w:t>
      </w:r>
      <w:r>
        <w:rPr>
          <w:rFonts w:eastAsiaTheme="minorHAnsi" w:cstheme="minorHAnsi"/>
          <w:lang w:val="ka-GE"/>
        </w:rPr>
        <w:t>4</w:t>
      </w:r>
      <w:r w:rsidRPr="00C904CF">
        <w:rPr>
          <w:rFonts w:eastAsiaTheme="minorHAnsi" w:cstheme="minorHAnsi"/>
          <w:lang w:val="ka-GE"/>
        </w:rPr>
        <w:t xml:space="preserve">  </w:t>
      </w:r>
      <w:r>
        <w:rPr>
          <w:rFonts w:eastAsiaTheme="minorHAnsi" w:cstheme="minorHAnsi"/>
          <w:lang w:val="ka-GE"/>
        </w:rPr>
        <w:t>ერთეული ფასის განსაზღვრება / აღწერა</w:t>
      </w:r>
      <w:r>
        <w:rPr>
          <w:rFonts w:eastAsiaTheme="minorHAnsi" w:cstheme="minorHAnsi"/>
        </w:rPr>
        <w:t xml:space="preserve"> </w:t>
      </w:r>
      <w:r>
        <w:rPr>
          <w:rFonts w:eastAsiaTheme="minorHAnsi" w:cstheme="minorHAnsi"/>
          <w:lang w:val="ka-GE"/>
        </w:rPr>
        <w:t xml:space="preserve">სამუშაოების მიხედვით  </w:t>
      </w:r>
    </w:p>
    <w:p w14:paraId="2C7B6311" w14:textId="77777777" w:rsidR="001E79C3" w:rsidRDefault="001E79C3" w:rsidP="001E79C3">
      <w:pPr>
        <w:pStyle w:val="NoSpacing"/>
        <w:numPr>
          <w:ilvl w:val="0"/>
          <w:numId w:val="3"/>
        </w:numPr>
        <w:spacing w:before="40" w:after="40"/>
        <w:rPr>
          <w:rFonts w:eastAsiaTheme="minorHAnsi" w:cstheme="minorHAnsi"/>
          <w:lang w:val="ka-GE"/>
        </w:rPr>
      </w:pPr>
      <w:r>
        <w:rPr>
          <w:rFonts w:eastAsiaTheme="minorHAnsi" w:cstheme="minorHAnsi"/>
          <w:lang w:val="ka-GE"/>
        </w:rPr>
        <w:t xml:space="preserve">დანართი </w:t>
      </w:r>
      <w:r w:rsidRPr="00C904CF">
        <w:rPr>
          <w:rFonts w:eastAsiaTheme="minorHAnsi" w:cstheme="minorHAnsi"/>
          <w:lang w:val="ka-GE"/>
        </w:rPr>
        <w:t>№</w:t>
      </w:r>
      <w:r>
        <w:rPr>
          <w:rFonts w:eastAsiaTheme="minorHAnsi" w:cstheme="minorHAnsi"/>
          <w:lang w:val="ka-GE"/>
        </w:rPr>
        <w:t>5 - ხარჯთააღრიცხვა</w:t>
      </w:r>
    </w:p>
    <w:p w14:paraId="14945E11" w14:textId="77777777" w:rsidR="001E79C3" w:rsidRPr="006E7154" w:rsidRDefault="001E79C3" w:rsidP="001E79C3">
      <w:pPr>
        <w:pStyle w:val="NoSpacing"/>
        <w:numPr>
          <w:ilvl w:val="0"/>
          <w:numId w:val="3"/>
        </w:numPr>
        <w:spacing w:before="40" w:after="40"/>
        <w:rPr>
          <w:rFonts w:eastAsiaTheme="minorHAnsi" w:cstheme="minorHAnsi"/>
          <w:lang w:val="ka-GE"/>
        </w:rPr>
      </w:pPr>
      <w:r>
        <w:rPr>
          <w:rFonts w:eastAsiaTheme="minorHAnsi" w:cstheme="minorHAnsi"/>
          <w:lang w:val="ka-GE"/>
        </w:rPr>
        <w:t xml:space="preserve">დანართი </w:t>
      </w:r>
      <w:r w:rsidRPr="00C904CF">
        <w:rPr>
          <w:rFonts w:eastAsiaTheme="minorHAnsi" w:cstheme="minorHAnsi"/>
          <w:lang w:val="ka-GE"/>
        </w:rPr>
        <w:t>№</w:t>
      </w:r>
      <w:r>
        <w:rPr>
          <w:rFonts w:eastAsiaTheme="minorHAnsi" w:cstheme="minorHAnsi"/>
          <w:lang w:val="ka-GE"/>
        </w:rPr>
        <w:t>6 - ტექნიკური სპეციფიკაციები/აღწერილობა</w:t>
      </w:r>
    </w:p>
    <w:p w14:paraId="52F87F2D" w14:textId="77777777" w:rsidR="009F5DFB" w:rsidRPr="00C904CF" w:rsidRDefault="009F5DFB" w:rsidP="009F5DFB">
      <w:pPr>
        <w:rPr>
          <w:rFonts w:cstheme="minorHAnsi"/>
          <w:lang w:val="ka-GE"/>
        </w:rPr>
      </w:pPr>
    </w:p>
    <w:p w14:paraId="2233C2D5" w14:textId="77777777" w:rsidR="009F5DFB" w:rsidRPr="00C904CF" w:rsidRDefault="009F5DFB" w:rsidP="009F5DFB">
      <w:pPr>
        <w:rPr>
          <w:rFonts w:cstheme="minorHAnsi"/>
          <w:b/>
          <w:bCs/>
          <w:i/>
          <w:iCs/>
          <w:lang w:val="ka-GE"/>
        </w:rPr>
      </w:pPr>
      <w:r w:rsidRPr="00C904CF">
        <w:rPr>
          <w:rFonts w:cstheme="minorHAnsi"/>
          <w:b/>
          <w:bCs/>
          <w:i/>
          <w:iCs/>
          <w:lang w:val="ka-GE"/>
        </w:rPr>
        <w:t xml:space="preserve">მითითებები ტენდერში მონაწილეთათვის </w:t>
      </w:r>
    </w:p>
    <w:p w14:paraId="36C624EB" w14:textId="77777777" w:rsidR="009F5DFB" w:rsidRPr="00646C4B" w:rsidRDefault="009F5DFB" w:rsidP="009F5DF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bookmarkStart w:id="2" w:name="_Hlk226746016"/>
      <w:r w:rsidRPr="00646C4B">
        <w:rPr>
          <w:rFonts w:asciiTheme="minorHAnsi" w:hAnsiTheme="minorHAnsi" w:cstheme="minorHAnsi"/>
          <w:lang w:val="ka-GE"/>
        </w:rPr>
        <w:t xml:space="preserve">სატენდერო წინადადება წარდგენილი უნდა იქნას წინამდებარე მოთხოვნის გათვალისწინებით. სატენდერო დოუკემენტაციის ატვირთვა უნდა განხორციელდეს ელექტრონულად ვებ გვერდზე.  </w:t>
      </w:r>
    </w:p>
    <w:p w14:paraId="6A832668" w14:textId="77777777" w:rsidR="009F5DFB" w:rsidRPr="00646C4B" w:rsidRDefault="009F5DFB" w:rsidP="009F5DF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646C4B">
        <w:rPr>
          <w:rFonts w:asciiTheme="minorHAnsi" w:hAnsiTheme="minorHAnsi" w:cstheme="minorHAnsi"/>
          <w:lang w:val="ka-GE"/>
        </w:rPr>
        <w:t>სატენდერო წინადადება ძალაში უნდა იყოს 60 დღის ვადაში</w:t>
      </w:r>
    </w:p>
    <w:p w14:paraId="44655838" w14:textId="77777777" w:rsidR="009F5DFB" w:rsidRPr="00646C4B" w:rsidRDefault="009F5DFB" w:rsidP="009F5DFB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lang w:val="ka-GE"/>
        </w:rPr>
      </w:pPr>
      <w:r w:rsidRPr="00646C4B">
        <w:rPr>
          <w:rFonts w:asciiTheme="minorHAnsi" w:hAnsiTheme="minorHAnsi" w:cstheme="minorHAnsi"/>
          <w:lang w:val="ka-GE"/>
        </w:rPr>
        <w:lastRenderedPageBreak/>
        <w:t xml:space="preserve">სატენდერო წინადადების წარდგენის ბოლო ვადაა:  2026 წლის </w:t>
      </w:r>
      <w:r>
        <w:rPr>
          <w:rFonts w:asciiTheme="minorHAnsi" w:hAnsiTheme="minorHAnsi" w:cstheme="minorHAnsi"/>
          <w:lang w:val="ka-GE"/>
        </w:rPr>
        <w:t>04 მაისი</w:t>
      </w:r>
      <w:r w:rsidRPr="00646C4B">
        <w:rPr>
          <w:rFonts w:asciiTheme="minorHAnsi" w:hAnsiTheme="minorHAnsi" w:cstheme="minorHAnsi"/>
          <w:lang w:val="ka-GE"/>
        </w:rPr>
        <w:t xml:space="preserve"> წინადადებები ატვირთული უნდა იქნას </w:t>
      </w:r>
      <w:r w:rsidRPr="00646C4B">
        <w:rPr>
          <w:rFonts w:asciiTheme="minorHAnsi" w:hAnsiTheme="minorHAnsi" w:cstheme="minorHAnsi"/>
          <w:lang w:val="en-US"/>
        </w:rPr>
        <w:t>www.</w:t>
      </w:r>
      <w:r w:rsidRPr="00646C4B">
        <w:rPr>
          <w:rFonts w:asciiTheme="minorHAnsi" w:hAnsiTheme="minorHAnsi" w:cstheme="minorHAnsi"/>
          <w:lang w:val="ka-GE"/>
        </w:rPr>
        <w:t>tenders,ge- ზე.</w:t>
      </w:r>
    </w:p>
    <w:bookmarkEnd w:id="2"/>
    <w:p w14:paraId="387E3010" w14:textId="77777777" w:rsidR="008475DB" w:rsidRPr="00596A67" w:rsidRDefault="008475DB">
      <w:pPr>
        <w:rPr>
          <w:lang w:val="en-GB"/>
        </w:rPr>
      </w:pPr>
    </w:p>
    <w:sectPr w:rsidR="008475DB" w:rsidRPr="00596A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"/>
    <w:panose1 w:val="020B0606020202060204"/>
    <w:charset w:val="00"/>
    <w:family w:val="swiss"/>
    <w:pitch w:val="variable"/>
    <w:sig w:usb0="8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8D3"/>
    <w:multiLevelType w:val="hybridMultilevel"/>
    <w:tmpl w:val="0D12A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48CA"/>
    <w:multiLevelType w:val="hybridMultilevel"/>
    <w:tmpl w:val="F9E09A56"/>
    <w:lvl w:ilvl="0" w:tplc="92F2C586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37119"/>
    <w:multiLevelType w:val="multilevel"/>
    <w:tmpl w:val="C0E0F7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A635A9"/>
    <w:multiLevelType w:val="hybridMultilevel"/>
    <w:tmpl w:val="ACDAB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34"/>
    <w:rsid w:val="00050634"/>
    <w:rsid w:val="001E79C3"/>
    <w:rsid w:val="00596A67"/>
    <w:rsid w:val="008475DB"/>
    <w:rsid w:val="009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DE6A"/>
  <w15:chartTrackingRefBased/>
  <w15:docId w15:val="{44CBB48A-DDE6-46F9-AD3E-C2D6C00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67"/>
  </w:style>
  <w:style w:type="paragraph" w:styleId="Heading1">
    <w:name w:val="heading 1"/>
    <w:basedOn w:val="ListParagraph"/>
    <w:next w:val="Normal"/>
    <w:link w:val="Heading1Char"/>
    <w:uiPriority w:val="9"/>
    <w:qFormat/>
    <w:rsid w:val="00596A67"/>
    <w:pPr>
      <w:numPr>
        <w:numId w:val="2"/>
      </w:numPr>
      <w:spacing w:before="360" w:after="240"/>
      <w:contextualSpacing w:val="0"/>
      <w:outlineLvl w:val="0"/>
    </w:pPr>
    <w:rPr>
      <w:rFonts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A67"/>
    <w:pPr>
      <w:spacing w:after="120" w:line="264" w:lineRule="auto"/>
      <w:ind w:left="720"/>
      <w:contextualSpacing/>
      <w:jc w:val="both"/>
    </w:pPr>
    <w:rPr>
      <w:rFonts w:ascii="Univers Condensed" w:hAnsi="Univers Condensed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6A67"/>
    <w:rPr>
      <w:rFonts w:ascii="Univers Condensed" w:hAnsi="Univers Condensed" w:cs="Times New Roman"/>
      <w:b/>
      <w:sz w:val="24"/>
      <w:lang w:val="en-GB"/>
    </w:rPr>
  </w:style>
  <w:style w:type="paragraph" w:styleId="NoSpacing">
    <w:name w:val="No Spacing"/>
    <w:link w:val="NoSpacingChar"/>
    <w:uiPriority w:val="1"/>
    <w:qFormat/>
    <w:rsid w:val="001E79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79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2026-04-15T09:35:00Z</dcterms:created>
  <dcterms:modified xsi:type="dcterms:W3CDTF">2026-04-15T09:48:00Z</dcterms:modified>
</cp:coreProperties>
</file>