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6D9A" w14:textId="77777777" w:rsidR="0011054B" w:rsidRPr="00BA3CB2" w:rsidRDefault="00310CB5">
      <w:pPr>
        <w:spacing w:before="80" w:after="400"/>
        <w:jc w:val="center"/>
        <w:rPr>
          <w:rFonts w:ascii="Sylfaen" w:hAnsi="Sylfaen"/>
          <w:sz w:val="18"/>
          <w:szCs w:val="18"/>
        </w:rPr>
      </w:pPr>
      <w:r w:rsidRPr="009A6D5E">
        <w:rPr>
          <w:rFonts w:ascii="Sylfaen" w:hAnsi="Sylfaen"/>
          <w:color w:val="666666"/>
          <w:sz w:val="18"/>
          <w:szCs w:val="18"/>
        </w:rPr>
        <w:t>ერთჯერადი მ</w:t>
      </w:r>
      <w:r w:rsidRPr="00BA3CB2">
        <w:rPr>
          <w:rFonts w:ascii="Sylfaen" w:hAnsi="Sylfaen"/>
          <w:color w:val="666666"/>
          <w:sz w:val="18"/>
          <w:szCs w:val="18"/>
        </w:rPr>
        <w:t>ომსახურება · 4 სატესტო სცენარი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860"/>
      </w:tblGrid>
      <w:tr w:rsidR="0011054B" w:rsidRPr="00BA3CB2" w14:paraId="38C162C5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18A28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შემსყიდველი ორგანიზაცია:</w:t>
            </w:r>
          </w:p>
        </w:tc>
        <w:tc>
          <w:tcPr>
            <w:tcW w:w="5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DF8DF" w14:textId="77777777" w:rsidR="0011054B" w:rsidRPr="00BA3CB2" w:rsidRDefault="00DB6C10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  <w:lang w:val="ka-GE"/>
              </w:rPr>
              <w:t>შპს თეგეტა მოტორსი</w:t>
            </w:r>
          </w:p>
        </w:tc>
      </w:tr>
      <w:tr w:rsidR="0011054B" w:rsidRPr="00BA3CB2" w14:paraId="46B91BE0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6FEA6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ს/კ:</w:t>
            </w:r>
          </w:p>
        </w:tc>
        <w:tc>
          <w:tcPr>
            <w:tcW w:w="5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41367" w14:textId="77777777" w:rsidR="0011054B" w:rsidRPr="00BA3CB2" w:rsidRDefault="00DB6C10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BA3CB2">
              <w:rPr>
                <w:rFonts w:ascii="Sylfaen" w:hAnsi="Sylfaen"/>
                <w:sz w:val="18"/>
                <w:szCs w:val="18"/>
                <w:lang w:val="ka-GE"/>
              </w:rPr>
              <w:t>202177205</w:t>
            </w:r>
          </w:p>
        </w:tc>
      </w:tr>
      <w:tr w:rsidR="0011054B" w:rsidRPr="00BA3CB2" w14:paraId="42CF85BD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F48D3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შესყიდვის საგანი:</w:t>
            </w:r>
          </w:p>
        </w:tc>
        <w:tc>
          <w:tcPr>
            <w:tcW w:w="5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9A86F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შიდა შეღწევადობის ტესტირება (Penetration Testing)</w:t>
            </w:r>
          </w:p>
        </w:tc>
      </w:tr>
      <w:tr w:rsidR="0011054B" w:rsidRPr="00BA3CB2" w14:paraId="6F5C34AD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A6E37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მომსახურების ტიპი:</w:t>
            </w:r>
          </w:p>
        </w:tc>
        <w:tc>
          <w:tcPr>
            <w:tcW w:w="5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3038D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ერთჯერადი</w:t>
            </w:r>
          </w:p>
        </w:tc>
      </w:tr>
      <w:tr w:rsidR="0011054B" w:rsidRPr="00BA3CB2" w14:paraId="76481D59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DC5D0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სცენარების რაოდენობა:</w:t>
            </w:r>
          </w:p>
        </w:tc>
        <w:tc>
          <w:tcPr>
            <w:tcW w:w="5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A84DF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4 (ოთხი)</w:t>
            </w:r>
          </w:p>
        </w:tc>
      </w:tr>
      <w:tr w:rsidR="0011054B" w:rsidRPr="00BA3CB2" w14:paraId="6B4A8D50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AE454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წინადადების წარდგენის ვადა:</w:t>
            </w:r>
          </w:p>
        </w:tc>
        <w:tc>
          <w:tcPr>
            <w:tcW w:w="5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6543E" w14:textId="3B630AFE" w:rsidR="0011054B" w:rsidRPr="00BA3CB2" w:rsidRDefault="00791F3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01.05</w:t>
            </w:r>
            <w:r w:rsidR="00F411D1" w:rsidRPr="00BA3CB2">
              <w:rPr>
                <w:rFonts w:ascii="Sylfaen" w:hAnsi="Sylfaen"/>
                <w:sz w:val="18"/>
                <w:szCs w:val="18"/>
              </w:rPr>
              <w:t>.2026</w:t>
            </w:r>
          </w:p>
        </w:tc>
      </w:tr>
      <w:tr w:rsidR="0011054B" w:rsidRPr="00BA3CB2" w14:paraId="3C37F417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C1825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საკონტაქტო ელ-ფოსტა:</w:t>
            </w:r>
          </w:p>
        </w:tc>
        <w:tc>
          <w:tcPr>
            <w:tcW w:w="5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71471" w14:textId="77777777" w:rsidR="0011054B" w:rsidRPr="00BA3CB2" w:rsidRDefault="002F46A1">
            <w:pPr>
              <w:rPr>
                <w:rFonts w:ascii="Sylfaen" w:hAnsi="Sylfaen"/>
                <w:sz w:val="18"/>
                <w:szCs w:val="18"/>
              </w:rPr>
            </w:pPr>
            <w:hyperlink r:id="rId7" w:history="1">
              <w:r w:rsidR="00DB6C10" w:rsidRPr="00BA3CB2">
                <w:rPr>
                  <w:rFonts w:ascii="Sylfaen" w:eastAsia="Times New Roman" w:hAnsi="Sylfaen" w:cs="Cambria"/>
                  <w:bCs/>
                  <w:color w:val="0563C1"/>
                  <w:sz w:val="18"/>
                  <w:szCs w:val="18"/>
                  <w:u w:val="single"/>
                  <w:lang w:val="ka-GE"/>
                </w:rPr>
                <w:t>ProcurementTenders@tegetamotors.ge</w:t>
              </w:r>
            </w:hyperlink>
          </w:p>
        </w:tc>
      </w:tr>
    </w:tbl>
    <w:p w14:paraId="499BE34E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7C6C1614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5997E8F0" w14:textId="77777777" w:rsidR="0011054B" w:rsidRPr="00BA3CB2" w:rsidRDefault="00310CB5">
      <w:pPr>
        <w:pStyle w:val="Heading1"/>
        <w:pBdr>
          <w:bottom w:val="single" w:sz="6" w:space="4" w:color="2E75B6"/>
        </w:pBdr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1. ტენდერის მიზანი და მოკლე აღწერა</w:t>
      </w:r>
    </w:p>
    <w:p w14:paraId="33D019C7" w14:textId="77777777" w:rsidR="0011054B" w:rsidRPr="00BA3CB2" w:rsidRDefault="00310CB5">
      <w:pPr>
        <w:spacing w:before="80" w:after="80"/>
        <w:rPr>
          <w:rFonts w:ascii="Sylfaen" w:hAnsi="Sylfaen"/>
          <w:sz w:val="18"/>
          <w:szCs w:val="18"/>
        </w:rPr>
      </w:pPr>
      <w:r w:rsidRPr="00BA3CB2">
        <w:rPr>
          <w:rFonts w:ascii="Sylfaen" w:hAnsi="Sylfaen" w:cs="Sylfaen"/>
          <w:sz w:val="18"/>
          <w:szCs w:val="18"/>
        </w:rPr>
        <w:t>ტენდერი</w:t>
      </w:r>
      <w:r w:rsidRPr="00BA3CB2">
        <w:rPr>
          <w:rFonts w:ascii="Sylfaen" w:hAnsi="Sylfaen"/>
          <w:sz w:val="18"/>
          <w:szCs w:val="18"/>
        </w:rPr>
        <w:t xml:space="preserve"> </w:t>
      </w:r>
      <w:r w:rsidRPr="00BA3CB2">
        <w:rPr>
          <w:rFonts w:ascii="Sylfaen" w:hAnsi="Sylfaen" w:cs="Sylfaen"/>
          <w:sz w:val="18"/>
          <w:szCs w:val="18"/>
        </w:rPr>
        <w:t>ითვალისწინებს</w:t>
      </w:r>
      <w:r w:rsidRPr="00BA3CB2">
        <w:rPr>
          <w:rFonts w:ascii="Sylfaen" w:hAnsi="Sylfaen"/>
          <w:sz w:val="18"/>
          <w:szCs w:val="18"/>
        </w:rPr>
        <w:t xml:space="preserve"> </w:t>
      </w:r>
      <w:r w:rsidRPr="00BA3CB2">
        <w:rPr>
          <w:rFonts w:ascii="Sylfaen" w:hAnsi="Sylfaen" w:cs="Sylfaen"/>
          <w:sz w:val="18"/>
          <w:szCs w:val="18"/>
        </w:rPr>
        <w:t>ერთჯერად</w:t>
      </w:r>
      <w:r w:rsidRPr="00BA3CB2">
        <w:rPr>
          <w:rFonts w:ascii="Sylfaen" w:hAnsi="Sylfaen"/>
          <w:sz w:val="18"/>
          <w:szCs w:val="18"/>
        </w:rPr>
        <w:t xml:space="preserve"> </w:t>
      </w:r>
      <w:r w:rsidRPr="00BA3CB2">
        <w:rPr>
          <w:rFonts w:ascii="Sylfaen" w:hAnsi="Sylfaen" w:cs="Sylfaen"/>
          <w:sz w:val="18"/>
          <w:szCs w:val="18"/>
        </w:rPr>
        <w:t>მომსახურებას</w:t>
      </w:r>
      <w:r w:rsidRPr="00BA3CB2">
        <w:rPr>
          <w:rFonts w:ascii="Sylfaen" w:hAnsi="Sylfaen"/>
          <w:sz w:val="18"/>
          <w:szCs w:val="18"/>
        </w:rPr>
        <w:t xml:space="preserve">, </w:t>
      </w:r>
      <w:r w:rsidRPr="00BA3CB2">
        <w:rPr>
          <w:rFonts w:ascii="Sylfaen" w:hAnsi="Sylfaen" w:cs="Sylfaen"/>
          <w:sz w:val="18"/>
          <w:szCs w:val="18"/>
        </w:rPr>
        <w:t>რომელიც</w:t>
      </w:r>
      <w:r w:rsidRPr="00BA3CB2">
        <w:rPr>
          <w:rFonts w:ascii="Sylfaen" w:hAnsi="Sylfaen"/>
          <w:sz w:val="18"/>
          <w:szCs w:val="18"/>
        </w:rPr>
        <w:t xml:space="preserve"> </w:t>
      </w:r>
      <w:r w:rsidRPr="00BA3CB2">
        <w:rPr>
          <w:rFonts w:ascii="Sylfaen" w:hAnsi="Sylfaen" w:cs="Sylfaen"/>
          <w:sz w:val="18"/>
          <w:szCs w:val="18"/>
        </w:rPr>
        <w:t>მოიცავს</w:t>
      </w:r>
      <w:r w:rsidRPr="00BA3CB2">
        <w:rPr>
          <w:rFonts w:ascii="Sylfaen" w:hAnsi="Sylfaen"/>
          <w:sz w:val="18"/>
          <w:szCs w:val="18"/>
        </w:rPr>
        <w:t xml:space="preserve"> </w:t>
      </w:r>
      <w:r w:rsidRPr="00BA3CB2">
        <w:rPr>
          <w:rFonts w:ascii="Sylfaen" w:hAnsi="Sylfaen" w:cs="Sylfaen"/>
          <w:sz w:val="18"/>
          <w:szCs w:val="18"/>
        </w:rPr>
        <w:t>ოთხ</w:t>
      </w:r>
      <w:r w:rsidRPr="00BA3CB2">
        <w:rPr>
          <w:rFonts w:ascii="Sylfaen" w:hAnsi="Sylfaen"/>
          <w:sz w:val="18"/>
          <w:szCs w:val="18"/>
        </w:rPr>
        <w:t xml:space="preserve"> </w:t>
      </w:r>
      <w:r w:rsidRPr="00BA3CB2">
        <w:rPr>
          <w:rFonts w:ascii="Sylfaen" w:hAnsi="Sylfaen" w:cs="Sylfaen"/>
          <w:sz w:val="18"/>
          <w:szCs w:val="18"/>
        </w:rPr>
        <w:t>განსხვავებულ</w:t>
      </w:r>
      <w:r w:rsidRPr="00BA3CB2">
        <w:rPr>
          <w:rFonts w:ascii="Sylfaen" w:hAnsi="Sylfaen"/>
          <w:sz w:val="18"/>
          <w:szCs w:val="18"/>
        </w:rPr>
        <w:t xml:space="preserve"> </w:t>
      </w:r>
      <w:r w:rsidRPr="00BA3CB2">
        <w:rPr>
          <w:rFonts w:ascii="Sylfaen" w:hAnsi="Sylfaen" w:cs="Sylfaen"/>
          <w:sz w:val="18"/>
          <w:szCs w:val="18"/>
        </w:rPr>
        <w:t>სატესტო</w:t>
      </w:r>
      <w:r w:rsidRPr="00BA3CB2">
        <w:rPr>
          <w:rFonts w:ascii="Sylfaen" w:hAnsi="Sylfaen"/>
          <w:sz w:val="18"/>
          <w:szCs w:val="18"/>
        </w:rPr>
        <w:t xml:space="preserve"> </w:t>
      </w:r>
      <w:r w:rsidRPr="00BA3CB2">
        <w:rPr>
          <w:rFonts w:ascii="Sylfaen" w:hAnsi="Sylfaen" w:cs="Sylfaen"/>
          <w:sz w:val="18"/>
          <w:szCs w:val="18"/>
        </w:rPr>
        <w:t>სცენარს</w:t>
      </w:r>
      <w:r w:rsidRPr="00BA3CB2">
        <w:rPr>
          <w:rFonts w:ascii="Sylfaen" w:hAnsi="Sylfaen"/>
          <w:sz w:val="18"/>
          <w:szCs w:val="18"/>
        </w:rPr>
        <w:t>.</w:t>
      </w:r>
    </w:p>
    <w:p w14:paraId="5179B1EC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44AB8147" w14:textId="77777777" w:rsidR="0011054B" w:rsidRPr="00BA3CB2" w:rsidRDefault="00310CB5">
      <w:pPr>
        <w:pStyle w:val="Heading2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1.1 პროექტის მიზნები</w:t>
      </w:r>
    </w:p>
    <w:p w14:paraId="028B52C5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ორგანიზაციის შიდა ქსელის, Wi-Fi ინფრასტრუქტურის, ფიზიკური უსაფრთხოებისა და დომენგარე მოწყობილობების დაუცველობების იდენტიფიკ</w:t>
      </w:r>
      <w:bookmarkStart w:id="0" w:name="_GoBack"/>
      <w:bookmarkEnd w:id="0"/>
      <w:r w:rsidRPr="00BA3CB2">
        <w:rPr>
          <w:rFonts w:ascii="Sylfaen" w:hAnsi="Sylfaen"/>
          <w:sz w:val="18"/>
          <w:szCs w:val="18"/>
        </w:rPr>
        <w:t>აცია;</w:t>
      </w:r>
    </w:p>
    <w:p w14:paraId="35F2F81B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რეალური თავდასხმის სიმულაციის გზით არსებული რისკების შეფასება;</w:t>
      </w:r>
    </w:p>
    <w:p w14:paraId="4524E18D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მოქმედი უსაფრთხოების კონტროლების ეფექტიანობის გადამოწმება;</w:t>
      </w:r>
    </w:p>
    <w:p w14:paraId="32EDC27A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კომპლექსური ანგარიშის და გამოსასწორებელი ღონისძიებების სამოქმედო გეგმის მიღება.</w:t>
      </w:r>
    </w:p>
    <w:p w14:paraId="664A9D82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5789603D" w14:textId="77777777" w:rsidR="0011054B" w:rsidRPr="00BA3CB2" w:rsidRDefault="00310CB5">
      <w:pPr>
        <w:pStyle w:val="Heading2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1.2 მომსახურების მოცულობა</w:t>
      </w:r>
    </w:p>
    <w:p w14:paraId="4C3DE019" w14:textId="0A4569E4" w:rsidR="0011054B" w:rsidRDefault="00310CB5">
      <w:pPr>
        <w:spacing w:before="80" w:after="80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მომსახურება არის ერთჯერადი და მოიცავს ქვემოთ მოცემულ 4 სცენარს. პრეტენდენტმა უნდა განაცხადოს ფასი თითოეულ სცენარზე ცალ-ცალკე, ასევე მთლიანი პაკეტის ფასი.</w:t>
      </w:r>
    </w:p>
    <w:p w14:paraId="23FC17EA" w14:textId="192E2C71" w:rsidR="004B609F" w:rsidRDefault="004B609F">
      <w:pPr>
        <w:spacing w:before="80" w:after="80"/>
        <w:rPr>
          <w:rFonts w:ascii="Sylfaen" w:hAnsi="Sylfaen"/>
          <w:sz w:val="18"/>
          <w:szCs w:val="18"/>
        </w:rPr>
      </w:pPr>
    </w:p>
    <w:p w14:paraId="1B6B9760" w14:textId="4C4496D3" w:rsidR="004B609F" w:rsidRDefault="004B609F">
      <w:pPr>
        <w:spacing w:before="80" w:after="8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სერვერების რაოდენობა: 330</w:t>
      </w:r>
    </w:p>
    <w:p w14:paraId="7E5AEEB2" w14:textId="3E238B56" w:rsidR="004B609F" w:rsidRPr="0041534B" w:rsidRDefault="004B609F">
      <w:pPr>
        <w:spacing w:before="80" w:after="8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შიდა აპიკაციები: 2, დაბალი სირთულის</w:t>
      </w:r>
    </w:p>
    <w:p w14:paraId="7CCAF40C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11016FD1" w14:textId="77777777" w:rsidR="0011054B" w:rsidRPr="00BA3CB2" w:rsidRDefault="00310CB5">
      <w:pPr>
        <w:pStyle w:val="Heading1"/>
        <w:pBdr>
          <w:bottom w:val="single" w:sz="6" w:space="4" w:color="2E75B6"/>
        </w:pBdr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2. სატესტო სცენარები</w:t>
      </w:r>
    </w:p>
    <w:p w14:paraId="7F2B5759" w14:textId="77777777" w:rsidR="0011054B" w:rsidRPr="00BA3CB2" w:rsidRDefault="00310CB5">
      <w:pPr>
        <w:spacing w:before="80" w:after="80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ყველა სცენარი უნდა განხორციელდეს კონტროლირებად გარემოში, წინასწარ შეთანხმებულ ვადებში და შემსყიდველ ორგანიზაციასთან კოორდინირებულად.</w:t>
      </w:r>
    </w:p>
    <w:p w14:paraId="3CC2FAE7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11054B" w:rsidRPr="00BA3CB2" w14:paraId="31CF0AC6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203647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სცენარი 1: Grey Box ტესტირება — შიდა მომხმარებლის ქსელიდან</w:t>
            </w:r>
          </w:p>
        </w:tc>
      </w:tr>
      <w:tr w:rsidR="0011054B" w:rsidRPr="00BA3CB2" w14:paraId="1542D825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DD249F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მოქმედების სფერო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2C7AC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შიდა კორპორატიული ქსელი (Internal Network). ტესტი ხორციელდება ჩვეულებრივი თანამშრომლის სამუშაო სადგურის პოზიციიდან, შეზღუდული წინასწარი ინფორმაციით.</w:t>
            </w:r>
          </w:p>
        </w:tc>
      </w:tr>
      <w:tr w:rsidR="0011054B" w:rsidRPr="00BA3CB2" w14:paraId="156D7851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6AC1EF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მიზნები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EB408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 xml:space="preserve">• ქსელის სეგმენტებში გვერდითი გადაადგილების (Lateral Movement) შესაძლებლობების შეფასება • შიდა სერვერებსა და სისტემებზე არაავტორიზებული </w:t>
            </w:r>
            <w:r w:rsidRPr="00BA3CB2">
              <w:rPr>
                <w:rFonts w:ascii="Sylfaen" w:hAnsi="Sylfaen"/>
                <w:sz w:val="18"/>
                <w:szCs w:val="18"/>
              </w:rPr>
              <w:lastRenderedPageBreak/>
              <w:t>წვდომის მცდელობა • პრივილეგიების ესკალაციის ვექტორების გამოვლენა • Active Directory კონფიგურაციის სისუსტეების ანალიზი • შიდა ქსელის ტრაფიკის პასიური და აქტიური სკანირება</w:t>
            </w:r>
          </w:p>
        </w:tc>
      </w:tr>
      <w:tr w:rsidR="0011054B" w:rsidRPr="00BA3CB2" w14:paraId="6FEE4BCF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AD7400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lastRenderedPageBreak/>
              <w:t>ანგარიშგება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7DCCC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• დეტალური ტექნიკური ანგარიში გამოვლენილი დაუცველობებით (CVSS რეიტინგით) • Proof-of-Concept (PoC) მტკიცებულებები • მიგნებების Executive Summary (მენეჯმენტისთვის) • პრიორიტეტიზებული გამოსასწორებელი ღონისძიებების ჩამონათვალი</w:t>
            </w:r>
          </w:p>
        </w:tc>
      </w:tr>
    </w:tbl>
    <w:p w14:paraId="23DF2BE7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11054B" w:rsidRPr="00BA3CB2" w14:paraId="05890A81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A3FF61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სცენარი 2: Wi-Fi ქსელების ტესტირება — სტუმრის და შიდა ქსელი</w:t>
            </w:r>
          </w:p>
        </w:tc>
      </w:tr>
      <w:tr w:rsidR="0011054B" w:rsidRPr="00BA3CB2" w14:paraId="33AC75F4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64974E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მოქმედების სფერო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D7E21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ორგანიზაციის ყველა Wi-Fi ქსელი: (ა) კორპორატიული/შიდა Wi-Fi ქსელი და (ბ) სტუმრების (Guest) Wi-Fi ქსელი. ტესტი ხორციელდება ობიექტის ფარგლებში.</w:t>
            </w:r>
          </w:p>
        </w:tc>
      </w:tr>
      <w:tr w:rsidR="0011054B" w:rsidRPr="00BA3CB2" w14:paraId="01512964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35F3CB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მიზნები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6B101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• Wi-Fi ქსელების სიძლიერის, დაშიფვრის პროტოკოლებისა და ავთენტიფიკაციის მეთოდების შეფასება • Evil Twin / Rogue AP შეტევების შესაძლებლობის ტესტირება • სტუმრის ქსელიდან შიდა კორპორატიულ ქსელში გადასვლის (segmentation bypass) მცდელობა • Wi-Fi Password/Key მოპოვების მეთოდების ტესტირება • კლიენტ-მოწყობილობების PMKID/EAPOL გადაჭერის ანალიზი • Man-in-the-Middle (MitM) შეტევების სიმულაცია Wi-Fi-ზე</w:t>
            </w:r>
          </w:p>
        </w:tc>
      </w:tr>
      <w:tr w:rsidR="0011054B" w:rsidRPr="00BA3CB2" w14:paraId="4DE4DB7B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AD9362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ანგარიშგება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BEDF7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• ორივე ქსელის (Guest და Internal) ცალ-ცალკე ანგარიში • ქსელის სეგმენტაციის ეფექტიანობის შეფასება • PoC ეკრანის სურათები/ლოგები • Wi-Fi უსაფრთხოების კონფიგურაციის რეკომენდაციები</w:t>
            </w:r>
          </w:p>
        </w:tc>
      </w:tr>
    </w:tbl>
    <w:p w14:paraId="5FC4EF76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11054B" w:rsidRPr="00BA3CB2" w14:paraId="665C4B16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236812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სცენარი 3: ფიზიკური უსაფრთხოების ტესტირება — 4 ობიექტი</w:t>
            </w:r>
          </w:p>
        </w:tc>
      </w:tr>
      <w:tr w:rsidR="0011054B" w:rsidRPr="00BA3CB2" w14:paraId="76E2D06C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B96EF1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მოქმედების სფერო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21F97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ოთხი (4) განსხვავებული ფიზიკური ობიექტი/ლოკაცია. ობიექტების სია და მისამართები გადაეცემა ტენდერის გამარჯვებულ კომპანიას სამუშაოების დაწყებამდე.</w:t>
            </w:r>
          </w:p>
        </w:tc>
      </w:tr>
      <w:tr w:rsidR="0011054B" w:rsidRPr="00BA3CB2" w14:paraId="370A52D8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62C700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მიზნები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9504C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• ობიექტებში ფიზიკური შეღწევის (Unauthorized Entry) სიმულაცია • სოციალური ინჟინერიის (Social Engineering) ტექნიკების გამოყენება (Tailgating, Pretexting) • ფიზიკური წვდომის კონტროლების (Access Control Systems, Badge Readers) ეფექტიანობის შეფასება • სამუშაო სადგურების, სერვერ-ოთახების და სხვა კრიტიკული ზონების ხელმისაწვდომობის ტესტი • CCTV და ფიზიკური სადარაჯო სისტემების ეფექტიანობის შეფასება • ობიექტიდან ინფორმაციის ფიზიკური გამოტანის (Data Exfiltration) მცდელობა</w:t>
            </w:r>
          </w:p>
        </w:tc>
      </w:tr>
      <w:tr w:rsidR="0011054B" w:rsidRPr="00BA3CB2" w14:paraId="1D222573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18FD24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ანგარიშგება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40B4C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• თითოეული ობიექტის ცალ-ცალკე ანგარიში • ფოტო/ვიდეო მტკიცებულებები (შეთანხმებული ფორმატით) • საერთო შეჯამება ოთხივე ობიექტზე • ფიზიკური დაცვის გაძლიერების კონკრეტული რეკომენდაციები</w:t>
            </w:r>
          </w:p>
        </w:tc>
      </w:tr>
    </w:tbl>
    <w:p w14:paraId="42036127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11054B" w:rsidRPr="00BA3CB2" w14:paraId="69571398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B2EDBC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სცენარი 4: დომენგარე მოწყობილობების ტესტირება (Tablets და სხვა)</w:t>
            </w:r>
          </w:p>
        </w:tc>
      </w:tr>
      <w:tr w:rsidR="0011054B" w:rsidRPr="00BA3CB2" w14:paraId="4724F00F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97A74D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მოქმედების სფერო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A2331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ორგანიზაციის ქსელთან დაკავშირებული, მაგრამ Active Directory-ში არ გაწევრიანებული (Non-Domain Joined) მოწყობილობები: ტაბლეტები, მობილური მოწყობილობები, IoT/სხვა endpoint-ები.</w:t>
            </w:r>
          </w:p>
        </w:tc>
      </w:tr>
      <w:tr w:rsidR="0011054B" w:rsidRPr="00BA3CB2" w14:paraId="21E1BECF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1A4098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მიზნები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CFC8E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 xml:space="preserve">• Non-domain მოწყობილობებიდან კორპორატიულ რესურსებზე წვდომის შესაძლებლობების შეფასება • მოწყობილობების ქსელში ხილვადობისა და სეგმენტაციის ანალიზი • MDM (Mobile Device Management) კონტროლების ეფექტიანობის გადამოწმება (ასეთის არსებობის შემთხვევაში) • მოწყობილობებიდან ქსელური შეტევების განხორციელების შესაძლებლობის ტესტი • მოწყობილობებზე </w:t>
            </w:r>
            <w:r w:rsidRPr="00BA3CB2">
              <w:rPr>
                <w:rFonts w:ascii="Sylfaen" w:hAnsi="Sylfaen"/>
                <w:sz w:val="18"/>
                <w:szCs w:val="18"/>
              </w:rPr>
              <w:lastRenderedPageBreak/>
              <w:t>განთავსებული სენსიტიური ინფორმაციის ხელმისაწვდომობის შეფასება • ავტენტიფიკაციის მექანიზმების ბაიპასის მცდელობა</w:t>
            </w:r>
          </w:p>
        </w:tc>
      </w:tr>
      <w:tr w:rsidR="0011054B" w:rsidRPr="00BA3CB2" w14:paraId="591275D8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61E243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lastRenderedPageBreak/>
              <w:t>ანგარიშგება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22718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• Non-domain endpoint-ების ქსელური ექსპოზიციის ანგარიში • MDM/პოლიტიკის ხარვეზების შეფასება • PoC მტკიცებულებები • Non-domain მოწყობილობების მართვის პოლიტიკის რეკომენდაციები</w:t>
            </w:r>
          </w:p>
        </w:tc>
      </w:tr>
    </w:tbl>
    <w:p w14:paraId="343FCD2B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0EAEB21B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5EF37439" w14:textId="77777777" w:rsidR="0011054B" w:rsidRPr="00BA3CB2" w:rsidRDefault="00E10337">
      <w:pPr>
        <w:pStyle w:val="Heading1"/>
        <w:pBdr>
          <w:bottom w:val="single" w:sz="6" w:space="4" w:color="2E75B6"/>
        </w:pBdr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  <w:lang w:val="ka-GE"/>
        </w:rPr>
        <w:t>1.</w:t>
      </w:r>
      <w:r w:rsidR="00310CB5" w:rsidRPr="00BA3CB2">
        <w:rPr>
          <w:rFonts w:ascii="Sylfaen" w:hAnsi="Sylfaen"/>
          <w:sz w:val="18"/>
          <w:szCs w:val="18"/>
        </w:rPr>
        <w:t xml:space="preserve"> ტექნიკური მოთხოვნები</w:t>
      </w:r>
    </w:p>
    <w:p w14:paraId="3CBE944F" w14:textId="77777777" w:rsidR="0011054B" w:rsidRPr="00BA3CB2" w:rsidRDefault="0011054B" w:rsidP="00E10337">
      <w:pPr>
        <w:pStyle w:val="Heading2"/>
        <w:rPr>
          <w:rFonts w:ascii="Sylfaen" w:hAnsi="Sylfaen"/>
          <w:sz w:val="18"/>
          <w:szCs w:val="18"/>
        </w:rPr>
      </w:pPr>
    </w:p>
    <w:p w14:paraId="764C8039" w14:textId="77777777" w:rsidR="0011054B" w:rsidRPr="00BA3CB2" w:rsidRDefault="00E10337">
      <w:pPr>
        <w:pStyle w:val="Heading2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  <w:lang w:val="ka-GE"/>
        </w:rPr>
        <w:t>1</w:t>
      </w:r>
      <w:r w:rsidR="00310CB5" w:rsidRPr="00BA3CB2">
        <w:rPr>
          <w:rFonts w:ascii="Sylfaen" w:hAnsi="Sylfaen"/>
          <w:sz w:val="18"/>
          <w:szCs w:val="18"/>
        </w:rPr>
        <w:t>.</w:t>
      </w:r>
      <w:r w:rsidRPr="00BA3CB2">
        <w:rPr>
          <w:rFonts w:ascii="Sylfaen" w:hAnsi="Sylfaen"/>
          <w:sz w:val="18"/>
          <w:szCs w:val="18"/>
          <w:lang w:val="ka-GE"/>
        </w:rPr>
        <w:t>1</w:t>
      </w:r>
      <w:r w:rsidR="00310CB5" w:rsidRPr="00BA3CB2">
        <w:rPr>
          <w:rFonts w:ascii="Sylfaen" w:hAnsi="Sylfaen"/>
          <w:sz w:val="18"/>
          <w:szCs w:val="18"/>
        </w:rPr>
        <w:t xml:space="preserve"> სამუშაოს შესრულების სტანდარტები</w:t>
      </w:r>
    </w:p>
    <w:p w14:paraId="6FE00FA1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ტესტირება უნდა ჩატარდეს PTES (Penetration Testing Execution Standard) ან OWASP Testing Guide სტანდარტების შესაბამისად;</w:t>
      </w:r>
    </w:p>
    <w:p w14:paraId="01C47653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ყველა სატესტო აქტივობა უნდა ჩაიწეროს ლოგებში და ხელმისაწვდომი იყოს შემსყიდველისთვის;</w:t>
      </w:r>
    </w:p>
    <w:p w14:paraId="68FBF1BE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კრიტიკული დაუცველობის აღმოჩენის შემთხვევაში, პრეტენდენტი ვალდებულია დაუყოვნებლივ (24 საათის განმავლობაში) აცნობოს შემსყიდველს;</w:t>
      </w:r>
    </w:p>
    <w:p w14:paraId="2475EA95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ტესტირება არ უნდა გამოიწვიოს სამუშაო სისტემების გამორთვა ან მონაცემთა დაზიანება.</w:t>
      </w:r>
    </w:p>
    <w:p w14:paraId="5AB51777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7052190D" w14:textId="77777777" w:rsidR="0011054B" w:rsidRPr="00BA3CB2" w:rsidRDefault="00E10337">
      <w:pPr>
        <w:pStyle w:val="Heading2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  <w:lang w:val="ka-GE"/>
        </w:rPr>
        <w:t>1.2.</w:t>
      </w:r>
      <w:r w:rsidR="00310CB5" w:rsidRPr="00BA3CB2">
        <w:rPr>
          <w:rFonts w:ascii="Sylfaen" w:hAnsi="Sylfaen"/>
          <w:sz w:val="18"/>
          <w:szCs w:val="18"/>
        </w:rPr>
        <w:t xml:space="preserve"> ანგარიშგება</w:t>
      </w:r>
    </w:p>
    <w:p w14:paraId="18980C59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საბოლოო ანგარიში უნდა მოიცავდეს Executive Summary-ს, ტექნიკურ დეტალებს, CVSS ქულებს, PoC მტკიცებულებებს და გამოსასწორებელ რეკომენდაციებს;</w:t>
      </w:r>
    </w:p>
    <w:p w14:paraId="1C1E794B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ანგარიში წარდგენილ უნდა იქნეს PDF და DOCX ფორმატებში, ქართულ ან/და ინგლისურ ენაზე;</w:t>
      </w:r>
    </w:p>
    <w:p w14:paraId="581FE63F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პრეტენდენტი ვალდებულია ანგარიშის პრეზენტაცია ჩაატაროს შემსყიდველის ტექნიკური გუნდისთვის (ადგილზე ან ვირტუალურად);</w:t>
      </w:r>
    </w:p>
    <w:p w14:paraId="5AD0DAF9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გამოსასწორებელი სამუშაოების განხორციელების შემდეგ, პრეტენდენტი ვალდებულია ჩაატაროს re-test სცენარების მიხედვით.</w:t>
      </w:r>
    </w:p>
    <w:p w14:paraId="196D655D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14D671A3" w14:textId="77777777" w:rsidR="0011054B" w:rsidRPr="00BA3CB2" w:rsidRDefault="00E10337">
      <w:pPr>
        <w:pStyle w:val="Heading1"/>
        <w:pBdr>
          <w:bottom w:val="single" w:sz="6" w:space="4" w:color="2E75B6"/>
        </w:pBdr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  <w:lang w:val="ka-GE"/>
        </w:rPr>
        <w:t>2</w:t>
      </w:r>
      <w:r w:rsidR="00310CB5" w:rsidRPr="00BA3CB2">
        <w:rPr>
          <w:rFonts w:ascii="Sylfaen" w:hAnsi="Sylfaen"/>
          <w:sz w:val="18"/>
          <w:szCs w:val="18"/>
        </w:rPr>
        <w:t>. განფასების მოთხოვნები</w:t>
      </w:r>
    </w:p>
    <w:p w14:paraId="01D22D52" w14:textId="4C2970BE" w:rsidR="0011054B" w:rsidRPr="00BA3CB2" w:rsidRDefault="00310CB5">
      <w:pPr>
        <w:spacing w:before="80" w:after="80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>პრეტენდენტმა უნდა მიუთითოს ფასი თითოეულ სცენარზე ცალ-ცალკე, ასევე ოთხივე სცენარის ერთობლიობის ჯამური ფასი. ყველა ფასი მოცემული უნდა იყოს ეროვნულ ვალუტაში (ლარი), ყველა გადასახადის ჩათვლით</w:t>
      </w:r>
      <w:r w:rsidR="001E3691">
        <w:rPr>
          <w:rFonts w:ascii="Sylfaen" w:hAnsi="Sylfaen"/>
          <w:sz w:val="18"/>
          <w:szCs w:val="18"/>
          <w:lang w:val="ka-GE"/>
        </w:rPr>
        <w:t>, დღგ-ს გარეშე.</w:t>
      </w:r>
    </w:p>
    <w:p w14:paraId="7721519E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4060"/>
        <w:gridCol w:w="2350"/>
        <w:gridCol w:w="2350"/>
      </w:tblGrid>
      <w:tr w:rsidR="0011054B" w:rsidRPr="00BA3CB2" w14:paraId="77DCCBF3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450865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40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5FEE1E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სცენარი</w:t>
            </w: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3EF686" w14:textId="3458717E" w:rsidR="0011054B" w:rsidRPr="00BA3CB2" w:rsidRDefault="00310CB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ფასი </w:t>
            </w:r>
            <w:r w:rsidR="002A70C4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ka-GE"/>
              </w:rPr>
              <w:t>(</w:t>
            </w:r>
            <w:r w:rsidR="001E3691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ka-GE"/>
              </w:rPr>
              <w:t xml:space="preserve"> ლარი, </w:t>
            </w:r>
            <w:r w:rsidR="002A70C4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ka-GE"/>
              </w:rPr>
              <w:t xml:space="preserve">, </w:t>
            </w:r>
            <w:r w:rsidR="001E3691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ka-GE"/>
              </w:rPr>
              <w:t xml:space="preserve"> დღგ-ს გარეშე</w:t>
            </w: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8455D0" w14:textId="41D9626E" w:rsidR="0011054B" w:rsidRPr="00BA3CB2" w:rsidRDefault="00310CB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ფასი </w:t>
            </w:r>
            <w:r w:rsidR="001E3691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ka-GE"/>
              </w:rPr>
              <w:t>(ლარი, ,  დღგ-ს გარეშე</w:t>
            </w:r>
            <w:r w:rsidR="001E3691"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)</w:t>
            </w:r>
            <w:r w:rsidR="001E3691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</w:p>
        </w:tc>
      </w:tr>
      <w:tr w:rsidR="0011054B" w:rsidRPr="00BA3CB2" w14:paraId="6BA35E7A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891CBD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40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207B6A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Grey Box — შიდა ქსელი</w:t>
            </w: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2B7BFA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402A4B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11054B" w:rsidRPr="00BA3CB2" w14:paraId="6D977214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6C695A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40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12856C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Wi-Fi ტესტირება (Guest + Internal)</w:t>
            </w: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957771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1429E1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11054B" w:rsidRPr="00BA3CB2" w14:paraId="48E25E0A" w14:textId="77777777" w:rsidTr="002E662A">
        <w:trPr>
          <w:trHeight w:val="395"/>
        </w:trPr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006532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40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3719CA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ფიზიკური უსაფრთხოება (4 ობიექტი)</w:t>
            </w: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E52011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0C032B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11054B" w:rsidRPr="00BA3CB2" w14:paraId="49E258C4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3E822C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40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1491FA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Non-Domain მოწყობილობები</w:t>
            </w: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30DBF2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728843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11054B" w:rsidRPr="00BA3CB2" w14:paraId="4508583E" w14:textId="77777777">
        <w:tc>
          <w:tcPr>
            <w:tcW w:w="46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743CA9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სულ (ყველა სცენარი)</w:t>
            </w: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47D0A0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1B4A91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6C2E2BDF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4255F2B0" w14:textId="77777777" w:rsidR="0011054B" w:rsidRDefault="00310CB5">
      <w:pPr>
        <w:spacing w:before="80" w:after="80"/>
      </w:pPr>
      <w:r w:rsidRPr="00BA3CB2">
        <w:rPr>
          <w:rFonts w:ascii="Sylfaen" w:hAnsi="Sylfaen"/>
          <w:i/>
          <w:iCs/>
          <w:color w:val="555555"/>
          <w:sz w:val="18"/>
          <w:szCs w:val="18"/>
        </w:rPr>
        <w:lastRenderedPageBreak/>
        <w:t>შენიშვნა: შემსყიდველი უფლებას იტოვებს შეარჩიოს ცალკეული სცენარები ან ყველა სცენარი ერთობლივად, ბიუჯეტისა და საჭიროებების გათვალისწინებით.</w:t>
      </w:r>
    </w:p>
    <w:sectPr w:rsidR="0011054B">
      <w:headerReference w:type="default" r:id="rId8"/>
      <w:footerReference w:type="default" r:id="rId9"/>
      <w:pgSz w:w="11906" w:h="16838"/>
      <w:pgMar w:top="144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15402" w14:textId="77777777" w:rsidR="002F46A1" w:rsidRDefault="002F46A1">
      <w:r>
        <w:separator/>
      </w:r>
    </w:p>
  </w:endnote>
  <w:endnote w:type="continuationSeparator" w:id="0">
    <w:p w14:paraId="3D3E1ED5" w14:textId="77777777" w:rsidR="002F46A1" w:rsidRDefault="002F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76683" w14:textId="77777777" w:rsidR="0011054B" w:rsidRDefault="0011054B">
    <w:pPr>
      <w:pBdr>
        <w:top w:val="single" w:sz="6" w:space="4" w:color="2E75B6"/>
      </w:pBdr>
      <w:tabs>
        <w:tab w:val="right" w:pos="9026"/>
      </w:tabs>
      <w:spacing w:before="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C8789" w14:textId="77777777" w:rsidR="002F46A1" w:rsidRDefault="002F46A1">
      <w:r>
        <w:separator/>
      </w:r>
    </w:p>
  </w:footnote>
  <w:footnote w:type="continuationSeparator" w:id="0">
    <w:p w14:paraId="674C5CB2" w14:textId="77777777" w:rsidR="002F46A1" w:rsidRDefault="002F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5A1EC" w14:textId="77777777" w:rsidR="0011054B" w:rsidRPr="00ED6DC3" w:rsidRDefault="00310CB5">
    <w:pPr>
      <w:pBdr>
        <w:bottom w:val="single" w:sz="6" w:space="4" w:color="2E75B6"/>
      </w:pBdr>
      <w:spacing w:after="120"/>
      <w:rPr>
        <w:rFonts w:asciiTheme="minorHAnsi" w:hAnsiTheme="minorHAnsi"/>
        <w:lang w:val="ka-GE"/>
      </w:rPr>
    </w:pPr>
    <w:r>
      <w:rPr>
        <w:color w:val="888888"/>
        <w:sz w:val="18"/>
        <w:szCs w:val="18"/>
      </w:rPr>
      <w:t xml:space="preserve">შიდა ინფრასტრუქტურის შეღწევადობის ტესტირება — </w:t>
    </w:r>
    <w:r w:rsidR="00DB6C10">
      <w:rPr>
        <w:rFonts w:ascii="Sylfaen" w:hAnsi="Sylfaen"/>
        <w:color w:val="888888"/>
        <w:sz w:val="18"/>
        <w:szCs w:val="18"/>
        <w:lang w:val="ka-GE"/>
      </w:rPr>
      <w:t xml:space="preserve">დანართი №1           </w:t>
    </w:r>
    <w:r w:rsidR="00ED6DC3">
      <w:rPr>
        <w:rFonts w:asciiTheme="minorHAnsi" w:hAnsiTheme="minorHAnsi"/>
        <w:color w:val="888888"/>
        <w:sz w:val="18"/>
        <w:szCs w:val="18"/>
        <w:lang w:val="ka-GE"/>
      </w:rPr>
      <w:t xml:space="preserve"> </w:t>
    </w:r>
    <w:r w:rsidR="00ED6DC3" w:rsidRPr="00ED6DC3">
      <w:rPr>
        <w:rFonts w:ascii="Times New Roman" w:eastAsia="Times New Roman" w:hAnsi="Times New Roman" w:cs="Times New Roman"/>
        <w:noProof/>
        <w:lang w:val="ka-GE"/>
      </w:rPr>
      <w:drawing>
        <wp:inline distT="0" distB="0" distL="0" distR="0" wp14:anchorId="3B4275C6" wp14:editId="7FAD00EC">
          <wp:extent cx="1972686" cy="364045"/>
          <wp:effectExtent l="0" t="0" r="0" b="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2686" cy="36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0CF2"/>
    <w:multiLevelType w:val="hybridMultilevel"/>
    <w:tmpl w:val="AE964E2E"/>
    <w:lvl w:ilvl="0" w:tplc="B322B72E">
      <w:start w:val="1"/>
      <w:numFmt w:val="bullet"/>
      <w:lvlText w:val="•"/>
      <w:lvlJc w:val="left"/>
      <w:pPr>
        <w:ind w:left="720" w:hanging="360"/>
      </w:pPr>
    </w:lvl>
    <w:lvl w:ilvl="1" w:tplc="177AE0C0">
      <w:numFmt w:val="decimal"/>
      <w:lvlText w:val=""/>
      <w:lvlJc w:val="left"/>
    </w:lvl>
    <w:lvl w:ilvl="2" w:tplc="B0845598">
      <w:numFmt w:val="decimal"/>
      <w:lvlText w:val=""/>
      <w:lvlJc w:val="left"/>
    </w:lvl>
    <w:lvl w:ilvl="3" w:tplc="FEBE698A">
      <w:numFmt w:val="decimal"/>
      <w:lvlText w:val=""/>
      <w:lvlJc w:val="left"/>
    </w:lvl>
    <w:lvl w:ilvl="4" w:tplc="5510BE34">
      <w:numFmt w:val="decimal"/>
      <w:lvlText w:val=""/>
      <w:lvlJc w:val="left"/>
    </w:lvl>
    <w:lvl w:ilvl="5" w:tplc="5DF4C0BC">
      <w:numFmt w:val="decimal"/>
      <w:lvlText w:val=""/>
      <w:lvlJc w:val="left"/>
    </w:lvl>
    <w:lvl w:ilvl="6" w:tplc="A55649B0">
      <w:numFmt w:val="decimal"/>
      <w:lvlText w:val=""/>
      <w:lvlJc w:val="left"/>
    </w:lvl>
    <w:lvl w:ilvl="7" w:tplc="41E2FD74">
      <w:numFmt w:val="decimal"/>
      <w:lvlText w:val=""/>
      <w:lvlJc w:val="left"/>
    </w:lvl>
    <w:lvl w:ilvl="8" w:tplc="CDDC1DEE">
      <w:numFmt w:val="decimal"/>
      <w:lvlText w:val=""/>
      <w:lvlJc w:val="left"/>
    </w:lvl>
  </w:abstractNum>
  <w:abstractNum w:abstractNumId="1" w15:restartNumberingAfterBreak="0">
    <w:nsid w:val="64BF5193"/>
    <w:multiLevelType w:val="hybridMultilevel"/>
    <w:tmpl w:val="8F764352"/>
    <w:lvl w:ilvl="0" w:tplc="F636327A">
      <w:start w:val="1"/>
      <w:numFmt w:val="bullet"/>
      <w:lvlText w:val="●"/>
      <w:lvlJc w:val="left"/>
      <w:pPr>
        <w:ind w:left="720" w:hanging="360"/>
      </w:pPr>
    </w:lvl>
    <w:lvl w:ilvl="1" w:tplc="CA42FB52">
      <w:start w:val="1"/>
      <w:numFmt w:val="bullet"/>
      <w:lvlText w:val="○"/>
      <w:lvlJc w:val="left"/>
      <w:pPr>
        <w:ind w:left="1440" w:hanging="360"/>
      </w:pPr>
    </w:lvl>
    <w:lvl w:ilvl="2" w:tplc="1F427DA2">
      <w:start w:val="1"/>
      <w:numFmt w:val="bullet"/>
      <w:lvlText w:val="■"/>
      <w:lvlJc w:val="left"/>
      <w:pPr>
        <w:ind w:left="2160" w:hanging="360"/>
      </w:pPr>
    </w:lvl>
    <w:lvl w:ilvl="3" w:tplc="17102000">
      <w:start w:val="1"/>
      <w:numFmt w:val="bullet"/>
      <w:lvlText w:val="●"/>
      <w:lvlJc w:val="left"/>
      <w:pPr>
        <w:ind w:left="2880" w:hanging="360"/>
      </w:pPr>
    </w:lvl>
    <w:lvl w:ilvl="4" w:tplc="1F848A14">
      <w:start w:val="1"/>
      <w:numFmt w:val="bullet"/>
      <w:lvlText w:val="○"/>
      <w:lvlJc w:val="left"/>
      <w:pPr>
        <w:ind w:left="3600" w:hanging="360"/>
      </w:pPr>
    </w:lvl>
    <w:lvl w:ilvl="5" w:tplc="C414B914">
      <w:start w:val="1"/>
      <w:numFmt w:val="bullet"/>
      <w:lvlText w:val="■"/>
      <w:lvlJc w:val="left"/>
      <w:pPr>
        <w:ind w:left="4320" w:hanging="360"/>
      </w:pPr>
    </w:lvl>
    <w:lvl w:ilvl="6" w:tplc="B4C44E60">
      <w:start w:val="1"/>
      <w:numFmt w:val="bullet"/>
      <w:lvlText w:val="●"/>
      <w:lvlJc w:val="left"/>
      <w:pPr>
        <w:ind w:left="5040" w:hanging="360"/>
      </w:pPr>
    </w:lvl>
    <w:lvl w:ilvl="7" w:tplc="48CAC842">
      <w:start w:val="1"/>
      <w:numFmt w:val="bullet"/>
      <w:lvlText w:val="●"/>
      <w:lvlJc w:val="left"/>
      <w:pPr>
        <w:ind w:left="5760" w:hanging="360"/>
      </w:pPr>
    </w:lvl>
    <w:lvl w:ilvl="8" w:tplc="3E3CE4D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AF9157C"/>
    <w:multiLevelType w:val="hybridMultilevel"/>
    <w:tmpl w:val="EFA88F1A"/>
    <w:lvl w:ilvl="0" w:tplc="777A18CE">
      <w:start w:val="1"/>
      <w:numFmt w:val="decimal"/>
      <w:lvlText w:val="%1."/>
      <w:lvlJc w:val="left"/>
      <w:pPr>
        <w:ind w:left="720" w:hanging="360"/>
      </w:pPr>
    </w:lvl>
    <w:lvl w:ilvl="1" w:tplc="D6749736">
      <w:numFmt w:val="decimal"/>
      <w:lvlText w:val=""/>
      <w:lvlJc w:val="left"/>
    </w:lvl>
    <w:lvl w:ilvl="2" w:tplc="8018A6AC">
      <w:numFmt w:val="decimal"/>
      <w:lvlText w:val=""/>
      <w:lvlJc w:val="left"/>
    </w:lvl>
    <w:lvl w:ilvl="3" w:tplc="9F589D32">
      <w:numFmt w:val="decimal"/>
      <w:lvlText w:val=""/>
      <w:lvlJc w:val="left"/>
    </w:lvl>
    <w:lvl w:ilvl="4" w:tplc="2AC4F0A2">
      <w:numFmt w:val="decimal"/>
      <w:lvlText w:val=""/>
      <w:lvlJc w:val="left"/>
    </w:lvl>
    <w:lvl w:ilvl="5" w:tplc="F91AF7F4">
      <w:numFmt w:val="decimal"/>
      <w:lvlText w:val=""/>
      <w:lvlJc w:val="left"/>
    </w:lvl>
    <w:lvl w:ilvl="6" w:tplc="E272AB9C">
      <w:numFmt w:val="decimal"/>
      <w:lvlText w:val=""/>
      <w:lvlJc w:val="left"/>
    </w:lvl>
    <w:lvl w:ilvl="7" w:tplc="FC108048">
      <w:numFmt w:val="decimal"/>
      <w:lvlText w:val=""/>
      <w:lvlJc w:val="left"/>
    </w:lvl>
    <w:lvl w:ilvl="8" w:tplc="D444AD28">
      <w:numFmt w:val="decimal"/>
      <w:lvlText w:val=""/>
      <w:lvlJc w:val="left"/>
    </w:lvl>
  </w:abstractNum>
  <w:abstractNum w:abstractNumId="3" w15:restartNumberingAfterBreak="0">
    <w:nsid w:val="77914BC7"/>
    <w:multiLevelType w:val="hybridMultilevel"/>
    <w:tmpl w:val="951E19B4"/>
    <w:lvl w:ilvl="0" w:tplc="6C14B440">
      <w:start w:val="1"/>
      <w:numFmt w:val="bullet"/>
      <w:lvlText w:val="•"/>
      <w:lvlJc w:val="left"/>
      <w:pPr>
        <w:ind w:left="720" w:hanging="360"/>
      </w:pPr>
    </w:lvl>
    <w:lvl w:ilvl="1" w:tplc="907AFC9A">
      <w:numFmt w:val="decimal"/>
      <w:lvlText w:val=""/>
      <w:lvlJc w:val="left"/>
    </w:lvl>
    <w:lvl w:ilvl="2" w:tplc="3DFEBF3E">
      <w:numFmt w:val="decimal"/>
      <w:lvlText w:val=""/>
      <w:lvlJc w:val="left"/>
    </w:lvl>
    <w:lvl w:ilvl="3" w:tplc="65F25798">
      <w:numFmt w:val="decimal"/>
      <w:lvlText w:val=""/>
      <w:lvlJc w:val="left"/>
    </w:lvl>
    <w:lvl w:ilvl="4" w:tplc="CABAE6E0">
      <w:numFmt w:val="decimal"/>
      <w:lvlText w:val=""/>
      <w:lvlJc w:val="left"/>
    </w:lvl>
    <w:lvl w:ilvl="5" w:tplc="AAF8784A">
      <w:numFmt w:val="decimal"/>
      <w:lvlText w:val=""/>
      <w:lvlJc w:val="left"/>
    </w:lvl>
    <w:lvl w:ilvl="6" w:tplc="3080F6CA">
      <w:numFmt w:val="decimal"/>
      <w:lvlText w:val=""/>
      <w:lvlJc w:val="left"/>
    </w:lvl>
    <w:lvl w:ilvl="7" w:tplc="260C0504">
      <w:numFmt w:val="decimal"/>
      <w:lvlText w:val=""/>
      <w:lvlJc w:val="left"/>
    </w:lvl>
    <w:lvl w:ilvl="8" w:tplc="A48058C4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54B"/>
    <w:rsid w:val="000E0444"/>
    <w:rsid w:val="0011054B"/>
    <w:rsid w:val="001E3691"/>
    <w:rsid w:val="001E5E12"/>
    <w:rsid w:val="00245625"/>
    <w:rsid w:val="002630C1"/>
    <w:rsid w:val="002A70C4"/>
    <w:rsid w:val="002E662A"/>
    <w:rsid w:val="002F46A1"/>
    <w:rsid w:val="00310CB5"/>
    <w:rsid w:val="0041534B"/>
    <w:rsid w:val="004174D0"/>
    <w:rsid w:val="004B609F"/>
    <w:rsid w:val="005F799B"/>
    <w:rsid w:val="00791F39"/>
    <w:rsid w:val="008C7756"/>
    <w:rsid w:val="009A6D5E"/>
    <w:rsid w:val="00B97125"/>
    <w:rsid w:val="00BA3CB2"/>
    <w:rsid w:val="00BF4534"/>
    <w:rsid w:val="00D33290"/>
    <w:rsid w:val="00DB6C10"/>
    <w:rsid w:val="00E10337"/>
    <w:rsid w:val="00ED6DC3"/>
    <w:rsid w:val="00F100C1"/>
    <w:rsid w:val="00F4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15"/>
  <w15:docId w15:val="{74FE7E44-8888-4F57-94F5-B0BCC28F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1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1D1"/>
  </w:style>
  <w:style w:type="paragraph" w:styleId="Footer">
    <w:name w:val="footer"/>
    <w:basedOn w:val="Normal"/>
    <w:link w:val="FooterChar"/>
    <w:uiPriority w:val="99"/>
    <w:unhideWhenUsed/>
    <w:rsid w:val="00F41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1D1"/>
  </w:style>
  <w:style w:type="character" w:styleId="CommentReference">
    <w:name w:val="annotation reference"/>
    <w:basedOn w:val="DefaultParagraphFont"/>
    <w:uiPriority w:val="99"/>
    <w:semiHidden/>
    <w:unhideWhenUsed/>
    <w:rsid w:val="002E6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6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urementTenders@tegetamotors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Mariam Eristavi</cp:lastModifiedBy>
  <cp:revision>5</cp:revision>
  <dcterms:created xsi:type="dcterms:W3CDTF">2026-04-28T07:40:00Z</dcterms:created>
  <dcterms:modified xsi:type="dcterms:W3CDTF">2026-04-28T07:44:00Z</dcterms:modified>
</cp:coreProperties>
</file>