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2AC999B2" w:rsidR="009815C7" w:rsidRPr="007B0071" w:rsidRDefault="00635CFC" w:rsidP="00373F3E">
      <w:pPr>
        <w:spacing w:after="0" w:line="240" w:lineRule="auto"/>
        <w:jc w:val="center"/>
        <w:rPr>
          <w:rFonts w:ascii="Sylfaen" w:hAnsi="Sylfaen" w:cs="Sylfaen"/>
          <w:b/>
          <w:lang w:val="ka-GE"/>
        </w:rPr>
      </w:pPr>
      <w:r w:rsidRPr="00635CFC">
        <w:rPr>
          <w:rFonts w:ascii="Sylfaen" w:hAnsi="Sylfaen" w:cs="Sylfaen"/>
          <w:b/>
          <w:lang w:val="ka-GE"/>
        </w:rPr>
        <w:t>მდინარე მტკვარზე ა</w:t>
      </w:r>
      <w:r w:rsidR="00526B92">
        <w:rPr>
          <w:rFonts w:ascii="Sylfaen" w:hAnsi="Sylfaen" w:cs="Sylfaen"/>
          <w:b/>
          <w:lang w:val="ka-GE"/>
        </w:rPr>
        <w:t>რსებული</w:t>
      </w:r>
      <w:r w:rsidRPr="00635CFC">
        <w:rPr>
          <w:rFonts w:ascii="Sylfaen" w:hAnsi="Sylfaen" w:cs="Sylfaen"/>
          <w:b/>
          <w:lang w:val="ka-GE"/>
        </w:rPr>
        <w:t xml:space="preserve"> მილსადენის ხიდის </w:t>
      </w:r>
      <w:r w:rsidR="00526B92">
        <w:rPr>
          <w:rFonts w:ascii="Sylfaen" w:hAnsi="Sylfaen" w:cs="Sylfaen"/>
          <w:b/>
          <w:lang w:val="ka-GE"/>
        </w:rPr>
        <w:t xml:space="preserve">რეაბილიტაციის </w:t>
      </w:r>
      <w:r w:rsidRPr="00635CFC">
        <w:rPr>
          <w:rFonts w:ascii="Sylfaen" w:hAnsi="Sylfaen" w:cs="Sylfaen"/>
          <w:b/>
          <w:lang w:val="ka-GE"/>
        </w:rPr>
        <w:t>დეტალური საინჟინრო პროექტის მომზადებ</w:t>
      </w:r>
      <w:r>
        <w:rPr>
          <w:rFonts w:ascii="Sylfaen" w:hAnsi="Sylfaen" w:cs="Sylfaen"/>
          <w:b/>
          <w:lang w:val="ka-GE"/>
        </w:rPr>
        <w:t xml:space="preserve">ის </w:t>
      </w:r>
      <w:r w:rsidR="00026C73">
        <w:rPr>
          <w:rFonts w:ascii="Sylfaen" w:hAnsi="Sylfaen" w:cs="Sylfaen"/>
          <w:b/>
          <w:lang w:val="ka-GE"/>
        </w:rPr>
        <w:t>სამუშაოების</w:t>
      </w:r>
      <w:r w:rsidR="0061352A" w:rsidRPr="0061352A">
        <w:rPr>
          <w:rFonts w:ascii="Sylfaen" w:hAnsi="Sylfaen" w:cs="Sylfaen"/>
          <w:b/>
          <w:lang w:val="ka-GE"/>
        </w:rPr>
        <w:t xml:space="preserve">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6735FEC5"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B12514" w:rsidRPr="00B12514">
        <w:rPr>
          <w:rFonts w:ascii="Sylfaen" w:hAnsi="Sylfaen" w:cs="Sylfaen"/>
          <w:lang w:val="ka-GE"/>
        </w:rPr>
        <w:t xml:space="preserve">მდინარე მტკვარზე არსებული მილსადენის ხიდის რეაბილიტაციის დეტალური </w:t>
      </w:r>
      <w:r w:rsidR="00635CFC" w:rsidRPr="00635CFC">
        <w:rPr>
          <w:rFonts w:ascii="Sylfaen" w:hAnsi="Sylfaen" w:cs="Sylfaen"/>
          <w:lang w:val="ka-GE"/>
        </w:rPr>
        <w:t xml:space="preserve">საინჟინრო პროექტის მომზადების 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77D25006" w:rsidR="00DB5C8D" w:rsidRPr="002B3CCD" w:rsidRDefault="00B12514" w:rsidP="00696A50">
      <w:pPr>
        <w:spacing w:after="0" w:line="240" w:lineRule="auto"/>
        <w:jc w:val="both"/>
        <w:rPr>
          <w:rFonts w:ascii="Sylfaen" w:hAnsi="Sylfaen" w:cs="Sylfaen"/>
          <w:lang w:val="ka-GE"/>
        </w:rPr>
      </w:pPr>
      <w:r w:rsidRPr="00B12514">
        <w:rPr>
          <w:rFonts w:ascii="Sylfaen" w:hAnsi="Sylfaen" w:cs="Sylfaen"/>
          <w:lang w:val="ka-GE"/>
        </w:rPr>
        <w:t xml:space="preserve">მდინარე მტკვარზე არსებული მილსადენის ხიდის რეაბილიტაციის დეტალური </w:t>
      </w:r>
      <w:r w:rsidR="00635CFC" w:rsidRPr="00635CFC">
        <w:rPr>
          <w:rFonts w:ascii="Sylfaen" w:hAnsi="Sylfaen" w:cs="Sylfaen"/>
          <w:lang w:val="ka-GE"/>
        </w:rPr>
        <w:t xml:space="preserve">საინჟინრო პროექტის მომზადების სამუშაოების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დავალება</w:t>
      </w:r>
      <w:r w:rsidR="005A5A39">
        <w:rPr>
          <w:rFonts w:ascii="Sylfaen" w:hAnsi="Sylfaen" w:cs="Sylfaen"/>
          <w:lang w:val="ka-GE"/>
        </w:rPr>
        <w:t xml:space="preserve">“ და „ხიდის კონსტრუქციულ მდგრაბაზე კვლევა“ </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15172E6F"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236D84">
        <w:rPr>
          <w:rFonts w:ascii="Sylfaen" w:hAnsi="Sylfaen"/>
          <w:lang w:val="ka-GE"/>
        </w:rPr>
        <w:t>ხრამი-</w:t>
      </w:r>
      <w:r w:rsidR="00635CFC">
        <w:rPr>
          <w:rFonts w:ascii="Sylfaen" w:hAnsi="Sylfaen"/>
          <w:lang w:val="ka-GE"/>
        </w:rPr>
        <w:t>რუსთავი</w:t>
      </w:r>
      <w:r w:rsidR="00026C73">
        <w:rPr>
          <w:rFonts w:ascii="Sylfaen" w:hAnsi="Sylfaen"/>
          <w:lang w:val="ka-GE"/>
        </w:rPr>
        <w:t xml:space="preserve">, </w:t>
      </w:r>
      <w:r w:rsidR="00635CFC">
        <w:rPr>
          <w:rFonts w:ascii="Sylfaen" w:hAnsi="Sylfaen"/>
          <w:lang w:val="ka-GE"/>
        </w:rPr>
        <w:t xml:space="preserve">კოორდინატები </w:t>
      </w:r>
      <w:r w:rsidR="00026C73">
        <w:rPr>
          <w:rFonts w:ascii="Sylfaen" w:hAnsi="Sylfaen"/>
          <w:lang w:val="ka-GE"/>
        </w:rPr>
        <w:t>(</w:t>
      </w:r>
      <w:r w:rsidR="00635CFC">
        <w:rPr>
          <w:rFonts w:ascii="Sylfaen" w:hAnsi="Sylfaen"/>
          <w:lang w:val="ka-GE"/>
        </w:rPr>
        <w:t xml:space="preserve">41° 26’ 14’ 45°01’ 13’ </w:t>
      </w:r>
      <w:r w:rsidR="00635CFC" w:rsidRPr="005A5A39">
        <w:rPr>
          <w:rFonts w:ascii="Sylfaen" w:hAnsi="Sylfaen"/>
          <w:lang w:val="ka-GE"/>
        </w:rPr>
        <w:t>E</w:t>
      </w:r>
      <w:r w:rsidR="00026C73">
        <w:rPr>
          <w:rFonts w:ascii="Sylfaen" w:hAnsi="Sylfaen"/>
          <w:lang w:val="ka-GE"/>
        </w:rPr>
        <w:t>)</w:t>
      </w:r>
    </w:p>
    <w:p w14:paraId="6CA96F61" w14:textId="5E02614D"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B12514">
        <w:rPr>
          <w:rFonts w:ascii="Sylfaen" w:hAnsi="Sylfaen"/>
          <w:lang w:val="ka-GE"/>
        </w:rPr>
        <w:t>4 თვ</w:t>
      </w:r>
      <w:r w:rsidR="00E2016E" w:rsidRPr="00026C73">
        <w:rPr>
          <w:rFonts w:ascii="Sylfaen" w:hAnsi="Sylfaen"/>
          <w:lang w:val="ka-GE"/>
        </w:rPr>
        <w:t>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lastRenderedPageBreak/>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31CBC9D5"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310545">
        <w:rPr>
          <w:rFonts w:ascii="Sylfaen" w:hAnsi="Sylfaen" w:cs="Sylfaen"/>
          <w:b/>
          <w:sz w:val="20"/>
          <w:szCs w:val="20"/>
          <w:lang w:val="ka-GE"/>
        </w:rPr>
        <w:t>11 მაისი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E2016E">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181C4703" w14:textId="77777777" w:rsidR="00A97C62" w:rsidRDefault="00A97C62" w:rsidP="00696A50">
      <w:pPr>
        <w:spacing w:after="0"/>
        <w:jc w:val="both"/>
        <w:rPr>
          <w:rFonts w:ascii="Sylfaen" w:hAnsi="Sylfaen"/>
          <w:sz w:val="18"/>
          <w:lang w:val="ka-GE"/>
        </w:rPr>
      </w:pPr>
    </w:p>
    <w:p w14:paraId="2C3A2D2F" w14:textId="77777777" w:rsidR="00A97C62" w:rsidRDefault="00A97C62" w:rsidP="00696A50">
      <w:pPr>
        <w:spacing w:after="0"/>
        <w:jc w:val="both"/>
        <w:rPr>
          <w:rFonts w:ascii="Sylfaen" w:hAnsi="Sylfaen"/>
          <w:sz w:val="18"/>
          <w:lang w:val="ka-GE"/>
        </w:rPr>
      </w:pPr>
    </w:p>
    <w:p w14:paraId="23800EC2" w14:textId="77777777" w:rsidR="00A97C62" w:rsidRDefault="00A97C62"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3FE1" w14:textId="77777777" w:rsidR="00535423" w:rsidRDefault="00535423" w:rsidP="007902EA">
      <w:pPr>
        <w:spacing w:after="0" w:line="240" w:lineRule="auto"/>
      </w:pPr>
      <w:r>
        <w:separator/>
      </w:r>
    </w:p>
  </w:endnote>
  <w:endnote w:type="continuationSeparator" w:id="0">
    <w:p w14:paraId="2808A4FE" w14:textId="77777777" w:rsidR="00535423" w:rsidRDefault="0053542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536D" w14:textId="77777777" w:rsidR="00535423" w:rsidRDefault="00535423" w:rsidP="007902EA">
      <w:pPr>
        <w:spacing w:after="0" w:line="240" w:lineRule="auto"/>
      </w:pPr>
      <w:r>
        <w:separator/>
      </w:r>
    </w:p>
  </w:footnote>
  <w:footnote w:type="continuationSeparator" w:id="0">
    <w:p w14:paraId="3D0E7198" w14:textId="77777777" w:rsidR="00535423" w:rsidRDefault="00535423"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67E27"/>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47E37"/>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6D84"/>
    <w:rsid w:val="00237416"/>
    <w:rsid w:val="00240573"/>
    <w:rsid w:val="00241768"/>
    <w:rsid w:val="002422D6"/>
    <w:rsid w:val="002468A9"/>
    <w:rsid w:val="00253883"/>
    <w:rsid w:val="00255EB0"/>
    <w:rsid w:val="0025658B"/>
    <w:rsid w:val="002568CE"/>
    <w:rsid w:val="00257F36"/>
    <w:rsid w:val="00265B34"/>
    <w:rsid w:val="00266CA0"/>
    <w:rsid w:val="00270BF2"/>
    <w:rsid w:val="002743DC"/>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0545"/>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3DAD"/>
    <w:rsid w:val="004D747F"/>
    <w:rsid w:val="004E36F2"/>
    <w:rsid w:val="004E7E41"/>
    <w:rsid w:val="005111AB"/>
    <w:rsid w:val="005248B1"/>
    <w:rsid w:val="0052656B"/>
    <w:rsid w:val="00526B92"/>
    <w:rsid w:val="00535423"/>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5A39"/>
    <w:rsid w:val="005A798F"/>
    <w:rsid w:val="005B31BA"/>
    <w:rsid w:val="005C14A4"/>
    <w:rsid w:val="005D3B83"/>
    <w:rsid w:val="005E05B1"/>
    <w:rsid w:val="005E130F"/>
    <w:rsid w:val="005F3357"/>
    <w:rsid w:val="00600144"/>
    <w:rsid w:val="00607E66"/>
    <w:rsid w:val="00610FC8"/>
    <w:rsid w:val="0061352A"/>
    <w:rsid w:val="00615BD2"/>
    <w:rsid w:val="00632910"/>
    <w:rsid w:val="00633210"/>
    <w:rsid w:val="00633F4A"/>
    <w:rsid w:val="00634B58"/>
    <w:rsid w:val="006352D2"/>
    <w:rsid w:val="00635CFC"/>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43470"/>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4741F"/>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1E23"/>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97C62"/>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2514"/>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923AA"/>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275</cp:revision>
  <cp:lastPrinted>2015-07-27T06:36:00Z</cp:lastPrinted>
  <dcterms:created xsi:type="dcterms:W3CDTF">2017-02-28T15:04:00Z</dcterms:created>
  <dcterms:modified xsi:type="dcterms:W3CDTF">2026-04-30T05:21:00Z</dcterms:modified>
</cp:coreProperties>
</file>