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B9BB8" w14:textId="523E7A86" w:rsidR="006B462B" w:rsidRPr="000508A4" w:rsidRDefault="006B462B" w:rsidP="00D273B1">
      <w:pPr>
        <w:spacing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val="ka-GE"/>
        </w:rPr>
      </w:pPr>
      <w:r w:rsidRPr="000508A4">
        <w:rPr>
          <w:rFonts w:asciiTheme="minorHAnsi" w:eastAsia="Calibri" w:hAnsiTheme="minorHAnsi" w:cstheme="minorHAnsi"/>
          <w:b/>
          <w:sz w:val="28"/>
          <w:szCs w:val="28"/>
          <w:lang w:val="ka-GE"/>
        </w:rPr>
        <w:t>სს „RMG GROUP“-ის 110 კვ ქვესადგური „მადნეულის“ ხელახლა მოწყობის</w:t>
      </w:r>
    </w:p>
    <w:p w14:paraId="1EA90F2D" w14:textId="585F95BB" w:rsidR="006B462B" w:rsidRPr="000508A4" w:rsidRDefault="006B462B" w:rsidP="00D273B1">
      <w:pPr>
        <w:spacing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val="ka-GE"/>
        </w:rPr>
      </w:pPr>
      <w:r w:rsidRPr="000508A4">
        <w:rPr>
          <w:rFonts w:asciiTheme="minorHAnsi" w:eastAsia="Calibri" w:hAnsiTheme="minorHAnsi" w:cstheme="minorHAnsi"/>
          <w:b/>
          <w:sz w:val="28"/>
          <w:szCs w:val="28"/>
          <w:lang w:val="ka-GE"/>
        </w:rPr>
        <w:t>დაპროექტების ტექნიკური დავალება</w:t>
      </w:r>
    </w:p>
    <w:p w14:paraId="36700164" w14:textId="7895727F" w:rsidR="00680B16" w:rsidRPr="000508A4" w:rsidRDefault="00680B16" w:rsidP="00D273B1">
      <w:pPr>
        <w:spacing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val="ka-GE"/>
        </w:rPr>
      </w:pPr>
    </w:p>
    <w:p w14:paraId="414C5BEA" w14:textId="7992F63F" w:rsidR="00CC4A3C" w:rsidRPr="000508A4" w:rsidRDefault="00CC4A3C" w:rsidP="00D273B1">
      <w:pPr>
        <w:spacing w:line="276" w:lineRule="auto"/>
        <w:jc w:val="right"/>
        <w:rPr>
          <w:rFonts w:asciiTheme="minorHAnsi" w:eastAsia="Calibri" w:hAnsiTheme="minorHAnsi" w:cstheme="minorHAnsi"/>
          <w:b/>
          <w:lang w:val="ka-GE"/>
        </w:rPr>
      </w:pPr>
    </w:p>
    <w:p w14:paraId="645BC37B" w14:textId="77777777" w:rsidR="00303D1D" w:rsidRPr="000508A4" w:rsidRDefault="00303D1D" w:rsidP="00D273B1">
      <w:pPr>
        <w:spacing w:line="276" w:lineRule="auto"/>
        <w:jc w:val="center"/>
        <w:rPr>
          <w:rFonts w:asciiTheme="minorHAnsi" w:eastAsia="Calibri" w:hAnsiTheme="minorHAnsi" w:cstheme="minorHAnsi"/>
          <w:sz w:val="28"/>
          <w:szCs w:val="28"/>
          <w:lang w:val="ka-GE"/>
        </w:rPr>
      </w:pPr>
    </w:p>
    <w:tbl>
      <w:tblPr>
        <w:tblpPr w:leftFromText="180" w:rightFromText="180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594"/>
        <w:gridCol w:w="3761"/>
      </w:tblGrid>
      <w:tr w:rsidR="00CE0BFF" w:rsidRPr="000508A4" w14:paraId="6425DBFB" w14:textId="77777777" w:rsidTr="00CE0BFF">
        <w:tc>
          <w:tcPr>
            <w:tcW w:w="5594" w:type="dxa"/>
          </w:tcPr>
          <w:p w14:paraId="66AE2FE6" w14:textId="77777777" w:rsidR="00CE0BFF" w:rsidRPr="000508A4" w:rsidRDefault="00CE0BFF" w:rsidP="00D273B1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8"/>
                <w:szCs w:val="28"/>
                <w:lang w:val="ka-GE"/>
              </w:rPr>
            </w:pPr>
          </w:p>
        </w:tc>
        <w:tc>
          <w:tcPr>
            <w:tcW w:w="3761" w:type="dxa"/>
          </w:tcPr>
          <w:p w14:paraId="795706A5" w14:textId="76C9BB45" w:rsidR="00CE0BFF" w:rsidRPr="000508A4" w:rsidRDefault="00112B79" w:rsidP="00D273B1">
            <w:pPr>
              <w:spacing w:after="16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ka-GE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</w:p>
          <w:p w14:paraId="1AA6F316" w14:textId="77777777" w:rsidR="00CE0BFF" w:rsidRPr="000508A4" w:rsidRDefault="00CE0BFF" w:rsidP="00D273B1">
            <w:pPr>
              <w:spacing w:after="16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ka-GE"/>
              </w:rPr>
            </w:pPr>
          </w:p>
          <w:p w14:paraId="11C8524F" w14:textId="4505E712" w:rsidR="00CE0BFF" w:rsidRPr="000508A4" w:rsidRDefault="00CE0BFF" w:rsidP="00D273B1">
            <w:pPr>
              <w:spacing w:line="276" w:lineRule="auto"/>
              <w:rPr>
                <w:rFonts w:asciiTheme="minorHAnsi" w:eastAsia="Calibri" w:hAnsiTheme="minorHAnsi" w:cstheme="minorHAnsi"/>
                <w:sz w:val="28"/>
                <w:szCs w:val="28"/>
                <w:lang w:val="ka-GE"/>
              </w:rPr>
            </w:pPr>
            <w:r w:rsidRPr="000508A4">
              <w:rPr>
                <w:rFonts w:asciiTheme="minorHAnsi" w:eastAsia="Calibri" w:hAnsiTheme="minorHAnsi" w:cstheme="minorHAnsi"/>
                <w:sz w:val="24"/>
                <w:szCs w:val="24"/>
                <w:lang w:val="ka-GE"/>
              </w:rPr>
              <w:t xml:space="preserve"> </w:t>
            </w:r>
          </w:p>
          <w:p w14:paraId="4D0A66D5" w14:textId="77777777" w:rsidR="00CE0BFF" w:rsidRPr="000508A4" w:rsidRDefault="00CE0BFF" w:rsidP="00D273B1">
            <w:pPr>
              <w:spacing w:after="16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ka-GE"/>
              </w:rPr>
            </w:pPr>
          </w:p>
          <w:p w14:paraId="2317D3D2" w14:textId="77777777" w:rsidR="00CE0BFF" w:rsidRPr="000508A4" w:rsidRDefault="00CE0BFF" w:rsidP="00D273B1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sz w:val="28"/>
                <w:szCs w:val="28"/>
                <w:lang w:val="ka-GE"/>
              </w:rPr>
            </w:pPr>
          </w:p>
        </w:tc>
      </w:tr>
    </w:tbl>
    <w:p w14:paraId="177386E7" w14:textId="170A70BB" w:rsidR="00F50B2F" w:rsidRPr="000508A4" w:rsidRDefault="00F50B2F" w:rsidP="00D273B1">
      <w:pPr>
        <w:spacing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val="ka-GE"/>
        </w:rPr>
      </w:pPr>
    </w:p>
    <w:p w14:paraId="4B0869F4" w14:textId="77777777" w:rsidR="00F50B2F" w:rsidRPr="000508A4" w:rsidRDefault="00F50B2F" w:rsidP="00D273B1">
      <w:pPr>
        <w:spacing w:after="160" w:line="276" w:lineRule="auto"/>
        <w:rPr>
          <w:rFonts w:asciiTheme="minorHAnsi" w:eastAsia="Calibri" w:hAnsiTheme="minorHAnsi" w:cstheme="minorHAnsi"/>
          <w:b/>
          <w:sz w:val="28"/>
          <w:szCs w:val="28"/>
          <w:lang w:val="ka-GE"/>
        </w:rPr>
      </w:pPr>
    </w:p>
    <w:p w14:paraId="1CD59C98" w14:textId="77777777" w:rsidR="00F50B2F" w:rsidRPr="000508A4" w:rsidRDefault="00F50B2F" w:rsidP="00D273B1">
      <w:pPr>
        <w:spacing w:line="276" w:lineRule="auto"/>
        <w:jc w:val="center"/>
        <w:rPr>
          <w:rFonts w:asciiTheme="minorHAnsi" w:eastAsia="Calibri" w:hAnsiTheme="minorHAnsi" w:cstheme="minorHAnsi"/>
          <w:sz w:val="40"/>
          <w:szCs w:val="40"/>
          <w:lang w:val="ka-GE"/>
        </w:rPr>
      </w:pPr>
    </w:p>
    <w:p w14:paraId="7F2497AD" w14:textId="0B4E3838" w:rsidR="003B2CC5" w:rsidRPr="000508A4" w:rsidRDefault="003B2CC5" w:rsidP="00D273B1">
      <w:pPr>
        <w:spacing w:line="276" w:lineRule="auto"/>
        <w:jc w:val="center"/>
        <w:rPr>
          <w:rFonts w:asciiTheme="minorHAnsi" w:eastAsia="Calibri" w:hAnsiTheme="minorHAnsi" w:cstheme="minorHAnsi"/>
          <w:sz w:val="28"/>
          <w:szCs w:val="28"/>
          <w:lang w:val="ka-GE"/>
        </w:rPr>
      </w:pPr>
    </w:p>
    <w:p w14:paraId="52CF75AA" w14:textId="326151F7" w:rsidR="003B2CC5" w:rsidRPr="000508A4" w:rsidRDefault="003B2CC5" w:rsidP="00D273B1">
      <w:pPr>
        <w:spacing w:line="276" w:lineRule="auto"/>
        <w:jc w:val="center"/>
        <w:rPr>
          <w:rFonts w:asciiTheme="minorHAnsi" w:eastAsia="Calibri" w:hAnsiTheme="minorHAnsi" w:cstheme="minorHAnsi"/>
          <w:sz w:val="28"/>
          <w:szCs w:val="28"/>
          <w:lang w:val="ka-GE"/>
        </w:rPr>
      </w:pPr>
    </w:p>
    <w:p w14:paraId="0BEC4ABE" w14:textId="61AEFF6C" w:rsidR="003B2CC5" w:rsidRPr="000508A4" w:rsidRDefault="003B2CC5" w:rsidP="00D273B1">
      <w:pPr>
        <w:spacing w:line="276" w:lineRule="auto"/>
        <w:jc w:val="center"/>
        <w:rPr>
          <w:rFonts w:asciiTheme="minorHAnsi" w:eastAsia="Calibri" w:hAnsiTheme="minorHAnsi" w:cstheme="minorHAnsi"/>
          <w:sz w:val="28"/>
          <w:szCs w:val="28"/>
          <w:lang w:val="ka-GE"/>
        </w:rPr>
      </w:pPr>
    </w:p>
    <w:p w14:paraId="28D92ECE" w14:textId="0F7179AE" w:rsidR="00FF4471" w:rsidRPr="000508A4" w:rsidRDefault="00FF4471" w:rsidP="00D273B1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val="ka-GE"/>
        </w:rPr>
      </w:pPr>
    </w:p>
    <w:p w14:paraId="7F003846" w14:textId="301A99A7" w:rsidR="00FF4471" w:rsidRPr="000508A4" w:rsidRDefault="00FF4471" w:rsidP="00D273B1">
      <w:pPr>
        <w:spacing w:line="276" w:lineRule="auto"/>
        <w:jc w:val="center"/>
        <w:rPr>
          <w:rFonts w:asciiTheme="minorHAnsi" w:eastAsia="Calibri" w:hAnsiTheme="minorHAnsi" w:cstheme="minorHAnsi"/>
          <w:sz w:val="28"/>
          <w:szCs w:val="28"/>
          <w:lang w:val="ka-GE"/>
        </w:rPr>
      </w:pPr>
    </w:p>
    <w:p w14:paraId="2B87B355" w14:textId="08D1ED78" w:rsidR="003B2CC5" w:rsidRPr="000508A4" w:rsidRDefault="003B2CC5" w:rsidP="00D273B1">
      <w:pPr>
        <w:spacing w:line="276" w:lineRule="auto"/>
        <w:jc w:val="center"/>
        <w:rPr>
          <w:rFonts w:asciiTheme="minorHAnsi" w:eastAsia="Calibri" w:hAnsiTheme="minorHAnsi" w:cstheme="minorHAnsi"/>
          <w:sz w:val="28"/>
          <w:szCs w:val="28"/>
          <w:lang w:val="ka-GE"/>
        </w:rPr>
      </w:pPr>
    </w:p>
    <w:p w14:paraId="788FD9F9" w14:textId="77777777" w:rsidR="00F92CA4" w:rsidRPr="000508A4" w:rsidRDefault="00F92CA4" w:rsidP="00D273B1">
      <w:pPr>
        <w:spacing w:line="276" w:lineRule="auto"/>
        <w:jc w:val="center"/>
        <w:rPr>
          <w:rFonts w:asciiTheme="minorHAnsi" w:eastAsia="Calibri" w:hAnsiTheme="minorHAnsi" w:cstheme="minorHAnsi"/>
          <w:sz w:val="28"/>
          <w:szCs w:val="28"/>
          <w:lang w:val="ka-GE"/>
        </w:rPr>
      </w:pPr>
    </w:p>
    <w:p w14:paraId="3B9E3532" w14:textId="5B8FCB41" w:rsidR="00CE0BFF" w:rsidRPr="000508A4" w:rsidRDefault="00CE0BFF" w:rsidP="00D273B1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val="ka-GE"/>
        </w:rPr>
      </w:pPr>
    </w:p>
    <w:p w14:paraId="66BEEE7C" w14:textId="77777777" w:rsidR="00CE0BFF" w:rsidRPr="000508A4" w:rsidRDefault="00CE0BFF" w:rsidP="00D273B1">
      <w:pPr>
        <w:spacing w:line="276" w:lineRule="auto"/>
        <w:jc w:val="center"/>
        <w:rPr>
          <w:rFonts w:asciiTheme="minorHAnsi" w:eastAsia="Calibri" w:hAnsiTheme="minorHAnsi" w:cstheme="minorHAnsi"/>
          <w:sz w:val="28"/>
          <w:szCs w:val="28"/>
          <w:lang w:val="ka-GE"/>
        </w:rPr>
      </w:pPr>
    </w:p>
    <w:p w14:paraId="7FE5CA73" w14:textId="5300917C" w:rsidR="003B2CC5" w:rsidRPr="000508A4" w:rsidRDefault="003B2CC5" w:rsidP="00D273B1">
      <w:pPr>
        <w:spacing w:line="276" w:lineRule="auto"/>
        <w:jc w:val="center"/>
        <w:rPr>
          <w:rFonts w:asciiTheme="minorHAnsi" w:eastAsia="Calibri" w:hAnsiTheme="minorHAnsi" w:cstheme="minorHAnsi"/>
          <w:sz w:val="28"/>
          <w:szCs w:val="28"/>
          <w:lang w:val="ka-GE"/>
        </w:rPr>
      </w:pPr>
    </w:p>
    <w:p w14:paraId="70914F6F" w14:textId="77777777" w:rsidR="0058755A" w:rsidRPr="000508A4" w:rsidRDefault="0058755A" w:rsidP="00D273B1">
      <w:pPr>
        <w:spacing w:line="276" w:lineRule="auto"/>
        <w:jc w:val="center"/>
        <w:rPr>
          <w:rFonts w:asciiTheme="minorHAnsi" w:eastAsia="Calibri" w:hAnsiTheme="minorHAnsi" w:cstheme="minorHAnsi"/>
          <w:lang w:val="ka-GE"/>
        </w:rPr>
      </w:pPr>
    </w:p>
    <w:p w14:paraId="2A3B97BD" w14:textId="77777777" w:rsidR="00D26819" w:rsidRPr="000508A4" w:rsidRDefault="00D26819" w:rsidP="00D273B1">
      <w:pPr>
        <w:spacing w:line="276" w:lineRule="auto"/>
        <w:jc w:val="center"/>
        <w:rPr>
          <w:rFonts w:asciiTheme="minorHAnsi" w:eastAsia="Calibri" w:hAnsiTheme="minorHAnsi" w:cstheme="minorHAnsi"/>
          <w:lang w:val="ka-GE"/>
        </w:rPr>
      </w:pPr>
    </w:p>
    <w:p w14:paraId="4B38E495" w14:textId="77777777" w:rsidR="00D26819" w:rsidRPr="000508A4" w:rsidRDefault="00D26819" w:rsidP="00D273B1">
      <w:pPr>
        <w:spacing w:line="276" w:lineRule="auto"/>
        <w:jc w:val="center"/>
        <w:rPr>
          <w:rFonts w:asciiTheme="minorHAnsi" w:eastAsia="Calibri" w:hAnsiTheme="minorHAnsi" w:cstheme="minorHAnsi"/>
          <w:lang w:val="ka-GE"/>
        </w:rPr>
      </w:pPr>
    </w:p>
    <w:p w14:paraId="60A60770" w14:textId="77777777" w:rsidR="00D26819" w:rsidRPr="000508A4" w:rsidRDefault="00D26819" w:rsidP="00D273B1">
      <w:pPr>
        <w:spacing w:line="276" w:lineRule="auto"/>
        <w:jc w:val="center"/>
        <w:rPr>
          <w:rFonts w:asciiTheme="minorHAnsi" w:eastAsia="Calibri" w:hAnsiTheme="minorHAnsi" w:cstheme="minorHAnsi"/>
          <w:lang w:val="ka-GE"/>
        </w:rPr>
      </w:pPr>
    </w:p>
    <w:p w14:paraId="5C782F53" w14:textId="77777777" w:rsidR="00D26819" w:rsidRPr="000508A4" w:rsidRDefault="00D26819" w:rsidP="00D273B1">
      <w:pPr>
        <w:spacing w:line="276" w:lineRule="auto"/>
        <w:jc w:val="center"/>
        <w:rPr>
          <w:rFonts w:asciiTheme="minorHAnsi" w:eastAsia="Calibri" w:hAnsiTheme="minorHAnsi" w:cstheme="minorHAnsi"/>
          <w:lang w:val="ka-GE"/>
        </w:rPr>
      </w:pPr>
    </w:p>
    <w:p w14:paraId="09BC629D" w14:textId="77777777" w:rsidR="00D26819" w:rsidRPr="000508A4" w:rsidRDefault="00D26819" w:rsidP="00D273B1">
      <w:pPr>
        <w:spacing w:line="276" w:lineRule="auto"/>
        <w:jc w:val="center"/>
        <w:rPr>
          <w:rFonts w:asciiTheme="minorHAnsi" w:eastAsia="Calibri" w:hAnsiTheme="minorHAnsi" w:cstheme="minorHAnsi"/>
          <w:lang w:val="ka-GE"/>
        </w:rPr>
      </w:pPr>
    </w:p>
    <w:p w14:paraId="1B1FE440" w14:textId="77777777" w:rsidR="00D26819" w:rsidRPr="000508A4" w:rsidRDefault="00D26819" w:rsidP="00D273B1">
      <w:pPr>
        <w:spacing w:line="276" w:lineRule="auto"/>
        <w:jc w:val="center"/>
        <w:rPr>
          <w:rFonts w:asciiTheme="minorHAnsi" w:eastAsia="Calibri" w:hAnsiTheme="minorHAnsi" w:cstheme="minorHAnsi"/>
          <w:lang w:val="ka-GE"/>
        </w:rPr>
      </w:pPr>
    </w:p>
    <w:p w14:paraId="31841C1B" w14:textId="77777777" w:rsidR="00D26819" w:rsidRPr="000508A4" w:rsidRDefault="00D26819" w:rsidP="00D273B1">
      <w:pPr>
        <w:spacing w:line="276" w:lineRule="auto"/>
        <w:jc w:val="center"/>
        <w:rPr>
          <w:rFonts w:asciiTheme="minorHAnsi" w:eastAsia="Calibri" w:hAnsiTheme="minorHAnsi" w:cstheme="minorHAnsi"/>
          <w:lang w:val="ka-GE"/>
        </w:rPr>
      </w:pPr>
    </w:p>
    <w:p w14:paraId="3C6584BD" w14:textId="77777777" w:rsidR="00D26819" w:rsidRPr="000508A4" w:rsidRDefault="00D26819" w:rsidP="00D273B1">
      <w:pPr>
        <w:spacing w:line="276" w:lineRule="auto"/>
        <w:jc w:val="center"/>
        <w:rPr>
          <w:rFonts w:asciiTheme="minorHAnsi" w:eastAsia="Calibri" w:hAnsiTheme="minorHAnsi" w:cstheme="minorHAnsi"/>
          <w:lang w:val="ka-GE"/>
        </w:rPr>
      </w:pPr>
    </w:p>
    <w:p w14:paraId="12F93C50" w14:textId="7E63B836" w:rsidR="00F50B2F" w:rsidRPr="000508A4" w:rsidRDefault="006B462B" w:rsidP="00D273B1">
      <w:pPr>
        <w:spacing w:line="276" w:lineRule="auto"/>
        <w:jc w:val="center"/>
        <w:rPr>
          <w:rFonts w:asciiTheme="minorHAnsi" w:hAnsiTheme="minorHAnsi" w:cstheme="minorHAnsi"/>
          <w:lang w:val="ka-GE"/>
        </w:rPr>
      </w:pPr>
      <w:r w:rsidRPr="000508A4">
        <w:rPr>
          <w:rFonts w:asciiTheme="minorHAnsi" w:eastAsia="Calibri" w:hAnsiTheme="minorHAnsi" w:cstheme="minorHAnsi"/>
          <w:lang w:val="ka-GE"/>
        </w:rPr>
        <w:t>თბილისი</w:t>
      </w:r>
      <w:r w:rsidR="00FF4471" w:rsidRPr="000508A4">
        <w:rPr>
          <w:rFonts w:asciiTheme="minorHAnsi" w:eastAsia="Calibri" w:hAnsiTheme="minorHAnsi" w:cstheme="minorHAnsi"/>
          <w:lang w:val="ka-GE"/>
        </w:rPr>
        <w:t xml:space="preserve"> </w:t>
      </w:r>
      <w:r w:rsidR="006F565E" w:rsidRPr="000508A4">
        <w:rPr>
          <w:rFonts w:asciiTheme="minorHAnsi" w:eastAsia="Calibri" w:hAnsiTheme="minorHAnsi" w:cstheme="minorHAnsi"/>
          <w:lang w:val="ka-GE"/>
        </w:rPr>
        <w:t>202</w:t>
      </w:r>
      <w:r w:rsidR="00750CD5" w:rsidRPr="000508A4">
        <w:rPr>
          <w:rFonts w:asciiTheme="minorHAnsi" w:eastAsia="Calibri" w:hAnsiTheme="minorHAnsi" w:cstheme="minorHAnsi"/>
          <w:lang w:val="ka-GE"/>
        </w:rPr>
        <w:t>6</w:t>
      </w:r>
      <w:r w:rsidR="00F50B2F" w:rsidRPr="000508A4">
        <w:rPr>
          <w:rFonts w:asciiTheme="minorHAnsi" w:hAnsiTheme="minorHAnsi" w:cstheme="minorHAnsi"/>
          <w:lang w:val="ka-GE"/>
        </w:rPr>
        <w:br w:type="page"/>
      </w:r>
    </w:p>
    <w:p w14:paraId="35EC722C" w14:textId="4295F33F" w:rsidR="009D44FC" w:rsidRPr="000508A4" w:rsidRDefault="006B462B" w:rsidP="00897B0D">
      <w:pPr>
        <w:pStyle w:val="ListParagraph"/>
        <w:keepNext/>
        <w:keepLines/>
        <w:numPr>
          <w:ilvl w:val="0"/>
          <w:numId w:val="1"/>
        </w:numPr>
        <w:tabs>
          <w:tab w:val="num" w:pos="1770"/>
        </w:tabs>
        <w:spacing w:before="240" w:after="120" w:line="264" w:lineRule="auto"/>
        <w:outlineLvl w:val="0"/>
        <w:rPr>
          <w:rFonts w:asciiTheme="minorHAnsi" w:eastAsiaTheme="majorEastAsia" w:hAnsiTheme="minorHAnsi" w:cstheme="minorHAnsi"/>
          <w:b/>
          <w:bCs/>
          <w:caps/>
          <w:sz w:val="22"/>
          <w:szCs w:val="24"/>
          <w:lang w:val="ka-GE"/>
        </w:rPr>
      </w:pPr>
      <w:r w:rsidRPr="000508A4">
        <w:rPr>
          <w:rFonts w:asciiTheme="minorHAnsi" w:eastAsiaTheme="majorEastAsia" w:hAnsiTheme="minorHAnsi" w:cstheme="minorHAnsi"/>
          <w:b/>
          <w:bCs/>
          <w:caps/>
          <w:sz w:val="22"/>
          <w:szCs w:val="24"/>
          <w:lang w:val="ka-GE"/>
        </w:rPr>
        <w:lastRenderedPageBreak/>
        <w:t>ზოგადი მონაცემები</w:t>
      </w:r>
    </w:p>
    <w:tbl>
      <w:tblPr>
        <w:tblW w:w="1390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4040"/>
        <w:gridCol w:w="4961"/>
        <w:gridCol w:w="4253"/>
      </w:tblGrid>
      <w:tr w:rsidR="00BF15B5" w:rsidRPr="000508A4" w14:paraId="4E36F601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DEE73" w14:textId="011DD717" w:rsidR="00BF15B5" w:rsidRPr="000508A4" w:rsidRDefault="00BF15B5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1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18A32" w14:textId="0626429D" w:rsidR="00BF15B5" w:rsidRPr="000508A4" w:rsidRDefault="006B462B" w:rsidP="00897B0D">
            <w:pPr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სამუშაოთა საფუძველი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6088" w14:textId="3BD82F2E" w:rsidR="00BF15B5" w:rsidRPr="000508A4" w:rsidRDefault="006B462B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ერთობლივი ელექტრული სიმძლავრის გაზრდა პროექტების</w:t>
            </w:r>
            <w:r w:rsidR="009B2230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: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„მადნეულის კარიერის რეკულტივაცია“, „გამამდიდრებელი ფაბრიკა „მადნეულის რეკონსტრუქცია მწარმოებლურობის გაზრდით</w:t>
            </w:r>
            <w:r w:rsidR="009B2230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წელიწადში 6 მლნ. ტონა მადნამდე“, „მადნეულის ნარჩენების საცავში დიდი ხნის განმავლობაში დაგროვებული ნარჩენების დამუშავება“ რეალიზებასთან დაკავშირებით</w:t>
            </w:r>
          </w:p>
        </w:tc>
      </w:tr>
      <w:tr w:rsidR="00BF15B5" w:rsidRPr="000508A4" w14:paraId="3865C7BE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871D6" w14:textId="026A1DB9" w:rsidR="00BF15B5" w:rsidRPr="000508A4" w:rsidRDefault="00BF15B5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2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3E0AD" w14:textId="6A3C5D02" w:rsidR="00BF15B5" w:rsidRPr="000508A4" w:rsidRDefault="009B2230" w:rsidP="00897B0D">
            <w:pPr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სამუშაოთა სახეობა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470E" w14:textId="417E499F" w:rsidR="00BF15B5" w:rsidRPr="000508A4" w:rsidRDefault="009B2230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მოდერნიზაცია</w:t>
            </w:r>
          </w:p>
        </w:tc>
      </w:tr>
      <w:tr w:rsidR="00BF15B5" w:rsidRPr="000508A4" w14:paraId="66E1F4FA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FE3DC" w14:textId="6451DF11" w:rsidR="00BF15B5" w:rsidRPr="000508A4" w:rsidRDefault="00BF15B5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52A0B" w14:textId="5AAC47C8" w:rsidR="00BF15B5" w:rsidRPr="000508A4" w:rsidRDefault="009B2230" w:rsidP="00897B0D">
            <w:pPr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დამკვეთი ორგანიზაცია, მისი იურიდიული და საფოსტო მისამართი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B5ED" w14:textId="6F4087D1" w:rsidR="00BF15B5" w:rsidRPr="000508A4" w:rsidRDefault="009B2230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სს</w:t>
            </w:r>
            <w:r w:rsidR="00BF15B5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„</w:t>
            </w:r>
            <w:r w:rsidR="00BF15B5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RMG Copper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“</w:t>
            </w:r>
            <w:r w:rsidR="00BF15B5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საქართველო</w:t>
            </w:r>
            <w:r w:rsidR="00BF15B5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ბოლნისის რაიონი, დაბა კაზრეთი</w:t>
            </w:r>
          </w:p>
        </w:tc>
      </w:tr>
      <w:tr w:rsidR="00BF15B5" w:rsidRPr="000508A4" w14:paraId="6F8B01FF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FF749" w14:textId="48AECC33" w:rsidR="00BF15B5" w:rsidRPr="000508A4" w:rsidRDefault="00BF15B5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4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E648B" w14:textId="1019E887" w:rsidR="00BF15B5" w:rsidRPr="000508A4" w:rsidRDefault="009B2230" w:rsidP="00897B0D">
            <w:pPr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ობიექტის დასახელება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E4BE" w14:textId="18AA9B78" w:rsidR="00BF15B5" w:rsidRPr="000508A4" w:rsidRDefault="009B2230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ქვესადგური</w:t>
            </w:r>
            <w:r w:rsidR="009B2184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110/10/6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კვ</w:t>
            </w:r>
            <w:r w:rsidR="009B2184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„მადნეული“</w:t>
            </w:r>
            <w:r w:rsidR="009B2184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</w:p>
        </w:tc>
      </w:tr>
      <w:tr w:rsidR="00BF15B5" w:rsidRPr="000508A4" w14:paraId="6FC1B520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F87A3" w14:textId="263DE5A5" w:rsidR="00BF15B5" w:rsidRPr="000508A4" w:rsidRDefault="00BF15B5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5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34A56" w14:textId="45F85C8C" w:rsidR="00BF15B5" w:rsidRPr="000508A4" w:rsidRDefault="009B2230" w:rsidP="00897B0D">
            <w:pPr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პროექტის კოდი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A214" w14:textId="270B5701" w:rsidR="00BF15B5" w:rsidRPr="000508A4" w:rsidRDefault="00BF15B5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</w:pPr>
          </w:p>
        </w:tc>
      </w:tr>
      <w:tr w:rsidR="009B2230" w:rsidRPr="000508A4" w14:paraId="66A76577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E80FC" w14:textId="20FE7A94" w:rsidR="009B2230" w:rsidRPr="000508A4" w:rsidRDefault="009B2230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6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74732" w14:textId="68DBFBA7" w:rsidR="009B2230" w:rsidRPr="000508A4" w:rsidRDefault="009B2230" w:rsidP="00897B0D">
            <w:pPr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დასაპროექტებელი ობიექტის ადგილმდებარეობა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288D" w14:textId="4308DF9E" w:rsidR="009B2230" w:rsidRPr="000508A4" w:rsidRDefault="009B2230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სს „RMG Copper“, საქართველო, ბოლნისის რაიონი, დაბა კაზრეთი</w:t>
            </w:r>
          </w:p>
        </w:tc>
      </w:tr>
      <w:tr w:rsidR="00BF15B5" w:rsidRPr="000508A4" w14:paraId="21CF0AAC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4D568" w14:textId="105A10DF" w:rsidR="00BF15B5" w:rsidRPr="000508A4" w:rsidRDefault="00BF15B5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7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BD365" w14:textId="097774B3" w:rsidR="00BF15B5" w:rsidRPr="000508A4" w:rsidRDefault="00BF15B5" w:rsidP="00897B0D">
            <w:pPr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Сроки </w:t>
            </w:r>
            <w:r w:rsidR="0064301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предоставлени услуги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90A6" w14:textId="501510A9" w:rsidR="00BF15B5" w:rsidRPr="000508A4" w:rsidRDefault="00BF15B5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202</w:t>
            </w:r>
            <w:r w:rsidR="009B2184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6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г.</w:t>
            </w:r>
          </w:p>
        </w:tc>
      </w:tr>
      <w:tr w:rsidR="00BF15B5" w:rsidRPr="000508A4" w14:paraId="37ECF6BD" w14:textId="77777777" w:rsidTr="006B462B">
        <w:trPr>
          <w:gridAfter w:val="1"/>
          <w:wAfter w:w="4253" w:type="dxa"/>
        </w:trPr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44CA" w14:textId="70D0B2C9" w:rsidR="00BF15B5" w:rsidRPr="000508A4" w:rsidRDefault="009B2230" w:rsidP="00897B0D">
            <w:pPr>
              <w:snapToGrid w:val="0"/>
              <w:spacing w:after="20" w:line="26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ზოგადი მოთხოვნები საპროექტო დოკუმენტაციის მიმართ</w:t>
            </w:r>
          </w:p>
        </w:tc>
      </w:tr>
      <w:tr w:rsidR="00C176AF" w:rsidRPr="000508A4" w14:paraId="2D5D231E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A835E" w14:textId="77777777" w:rsidR="00C176AF" w:rsidRPr="000508A4" w:rsidRDefault="00C176AF" w:rsidP="00897B0D">
            <w:pPr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8335" w14:textId="5F0CACAA" w:rsidR="00C176AF" w:rsidRPr="000508A4" w:rsidRDefault="009B2230" w:rsidP="00897B0D">
            <w:pPr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საწყისი მონაცემები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8ABC" w14:textId="5AFB4C98" w:rsidR="00C176AF" w:rsidRPr="000508A4" w:rsidRDefault="009B2230" w:rsidP="00897B0D">
            <w:pPr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ქვესადგური 110/10/6კვ „მადნეულის“ </w:t>
            </w:r>
            <w:r w:rsidR="00BE69F6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ერთხაზიანი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სქემა</w:t>
            </w:r>
            <w:r w:rsidR="00D273B1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;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="00D273B1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პროექტის „მადნეულის კარიერის რეკულტივაცია“ ძირითადი ელექტროტექნიკური მოწყობილობების უწყისი; პროექტის „გამამდიდრებელი ფაბრიკა „მადნეულის რეკონსტრუქცია მწარმოებლურობის გაზრდით წელიწადში 6 მლნ. ტონა მადნამდე“ ძირითადი ელექტროტექნიკური მოწყობილობების უწყისი; პროექტის „მადნეულის ნარჩენების საცავში დიდი ხნის განმავლობაში დაგროვებული ნარჩენების დამუშავება“ ძირითადი ელექტროტექნიკური მოწყობილობების უწყისი;</w:t>
            </w:r>
          </w:p>
        </w:tc>
      </w:tr>
      <w:tr w:rsidR="0045704B" w:rsidRPr="000508A4" w14:paraId="111C492E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7C533" w14:textId="77777777" w:rsidR="0045704B" w:rsidRPr="000508A4" w:rsidRDefault="0045704B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070C" w14:textId="7CADE018" w:rsidR="0045704B" w:rsidRPr="000508A4" w:rsidRDefault="00D273B1" w:rsidP="00897B0D">
            <w:pPr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დასაპროექტებელი ობიექტის ელექტრომომარაგების კატეგორია უნდა შეესაბამებოდეს ელექტროდანადგარების მოწყობის წესების მოთხოვნებს და შრომის დაცვისა და სამრეწველო უსაფრთხოების მოთხოვნებს სს „RMG“-ს ახლად დასაპროექტებელ ობიექტებზე, რომლებიც 1-ელ პუნქტშია ჩამოთვლილი.</w:t>
            </w:r>
          </w:p>
        </w:tc>
      </w:tr>
      <w:tr w:rsidR="002351FF" w:rsidRPr="000508A4" w14:paraId="038A8FED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3C4A4" w14:textId="053019D2" w:rsidR="002351FF" w:rsidRPr="000508A4" w:rsidRDefault="002351FF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1529" w14:textId="02445478" w:rsidR="002351FF" w:rsidRPr="000508A4" w:rsidRDefault="00D273B1" w:rsidP="00897B0D">
            <w:pPr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საპროექტო დოკუმენტაციაში / </w:t>
            </w:r>
            <w:r w:rsidR="00EC01C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ხელახალი ტექნიკური </w:t>
            </w:r>
            <w:r w:rsidR="00556D0D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აღჭურვის დოკუმენტაციაში გამოყენებული ტექნიკური გადაწყვეტილებები უნდა ითვალისწინებდეს მოწყობილობებისა და ნაგებობების ექსპლუატაციას საექსპლუატაციო პერსონალის მუდმივად იქ ყოფნით.</w:t>
            </w:r>
          </w:p>
        </w:tc>
      </w:tr>
      <w:tr w:rsidR="00C54AAE" w:rsidRPr="000508A4" w14:paraId="7ADC705F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AFE30" w14:textId="77777777" w:rsidR="00C54AAE" w:rsidRPr="000508A4" w:rsidRDefault="00C54AAE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36AD" w14:textId="4C23A6A4" w:rsidR="00C54AAE" w:rsidRPr="000508A4" w:rsidRDefault="00556D0D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საპროექტო დოკუმენტაციაში / </w:t>
            </w:r>
            <w:r w:rsidR="00EC01C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ხელახალი ტექნიკური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აღჭურვის დოკუმენტაციაში უნდა აისახოს ახალი ძალური 110 კვ ტრანსფორმატორების ტიპისა და ნომინალური სიმძლავრის შერჩევის ტექნიკური გადაწყვეტილებები. უნდა აისახოს 110/10/6 კვ ტრანსფორმატორების პარალელურად მუშაობის შესაძლებლობების ტექნიკური გადაწყვეტილებები.</w:t>
            </w:r>
          </w:p>
        </w:tc>
      </w:tr>
      <w:tr w:rsidR="000C12CF" w:rsidRPr="000508A4" w14:paraId="592D342D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616CB" w14:textId="77777777" w:rsidR="000C12CF" w:rsidRPr="000508A4" w:rsidRDefault="000C12CF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62C9" w14:textId="216CCD29" w:rsidR="00476AA3" w:rsidRPr="000508A4" w:rsidRDefault="00556D0D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საპროექტო დოკუმენტაციაში / </w:t>
            </w:r>
            <w:r w:rsidR="00EC01C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ხელახალი ტექნიკური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აღჭურვის დოკუმენტაციაში უნდა მოხდეს მოკლე შერთვის დენების გაანგარიშება</w:t>
            </w:r>
            <w:r w:rsidR="0091730D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380 ვ განმანაწილებელი </w:t>
            </w:r>
            <w:r w:rsidR="0091730D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lastRenderedPageBreak/>
              <w:t>მოწყობილობების სალტეებისა და შემყვანების ჩათვლით.</w:t>
            </w:r>
            <w:r w:rsidR="0042780B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ჩატარდეს ნორმალური და მოკლე შერთვის რეჟიმების მოდელირება ETAP პროგრამული კომპლექსის გამოყენებით. საპროექტო დოკუმენტაციის ეტაპზე მომზადდეს სელექციურობის წინასწარი რუკა</w:t>
            </w:r>
            <w:r w:rsidR="00476AA3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და წინასწარ გაითვალოს სარელეო დაცვის დათქმული ზღვრული მნიშვნელობა.</w:t>
            </w:r>
          </w:p>
          <w:p w14:paraId="7335272F" w14:textId="23EEAD8D" w:rsidR="00C54AAE" w:rsidRPr="000508A4" w:rsidRDefault="00476AA3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საპროექტო დოკუმენტაციის ეტაპზე მოწყობილობების შერჩევის შემდეგ დაზუსტდეს გაანგარიშებები.</w:t>
            </w:r>
          </w:p>
        </w:tc>
      </w:tr>
      <w:tr w:rsidR="00866A47" w:rsidRPr="000508A4" w14:paraId="7598EB2E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B1FA3" w14:textId="3E790E10" w:rsidR="00866A47" w:rsidRPr="000508A4" w:rsidRDefault="00866A47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7484" w14:textId="0346618E" w:rsidR="00866A47" w:rsidRPr="000508A4" w:rsidRDefault="00476AA3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საპროექტო დოკუმენტაციაში / </w:t>
            </w:r>
            <w:r w:rsidR="00EC01C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ხელახალი ტექნიკური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აღჭურვის დოკუმენტაციაში</w:t>
            </w:r>
            <w:r w:rsidR="00EF320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="00EC01C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უნდა </w:t>
            </w:r>
            <w:r w:rsidR="00EF320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აისახოს 110 კვ ქვესადგურის ელექტრული ნაწილის მოწყობილობების შერჩევის ტექნიკური გადაწყვეტილებები. გაანალიზდეს მოწყობილობების უკვე არსებული ერთეულები იმის დასადგენად, საჭიროა თუ არა მათი შეცვლა.</w:t>
            </w:r>
          </w:p>
        </w:tc>
      </w:tr>
      <w:tr w:rsidR="00C54AAE" w:rsidRPr="000508A4" w14:paraId="6D901CA3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2D5EF" w14:textId="77777777" w:rsidR="00C54AAE" w:rsidRPr="000508A4" w:rsidRDefault="00C54AAE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05FB" w14:textId="56A2B9E8" w:rsidR="00C54AAE" w:rsidRPr="000508A4" w:rsidRDefault="00EC01CC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უნდა იყოს </w:t>
            </w:r>
            <w:r w:rsidR="002F08B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გამოყენებულ </w:t>
            </w:r>
            <w:r w:rsidR="0008311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ელექტრომომარაგების პროცესების </w:t>
            </w:r>
            <w:r w:rsidR="002F08B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კომპლექსური ავტომატიზებული და (აუცილებელი </w:t>
            </w:r>
            <w:r w:rsidR="0008311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მოცულობით</w:t>
            </w:r>
            <w:r w:rsidR="002F08B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)</w:t>
            </w:r>
            <w:r w:rsidR="0008311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ავტომატური ოპერატიული კონტროლისა და მართვის რეალიზებისა და განვითარების ტექნიკური გადაწყვეტილებები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.</w:t>
            </w:r>
          </w:p>
        </w:tc>
      </w:tr>
      <w:tr w:rsidR="00C54AAE" w:rsidRPr="000508A4" w14:paraId="4267B00B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FF965" w14:textId="42974A7B" w:rsidR="00C54AAE" w:rsidRPr="000508A4" w:rsidRDefault="00C54AAE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A017" w14:textId="2CB2525A" w:rsidR="0008311E" w:rsidRPr="000508A4" w:rsidRDefault="0008311E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საპროექტო-სახარჯთაღრიცხვო დოკუმენტაციაში გათვალისწინებულ</w:t>
            </w:r>
            <w:r w:rsidR="00EC01C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ი უნდა იყოს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ენერგოქსელური ორგანიზაციის ელექტრულ ქსელებთან ობიექტების დამატებითი ტექნოლოგიური მიერთების ხელშეკრულებით განსაზღვრული მომსახურების ღირებულების გადახდის ხარჯები.</w:t>
            </w:r>
          </w:p>
          <w:p w14:paraId="3B6C3CDD" w14:textId="5BF5D970" w:rsidR="00C54AAE" w:rsidRPr="000508A4" w:rsidRDefault="0008311E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დაშვებული ელექტრული სიმძლავრის გაზრდის შემთხვევაში </w:t>
            </w:r>
            <w:r w:rsidR="00EC01C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უნდა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შემუშავდეს და დამკვეთს</w:t>
            </w:r>
            <w:r w:rsidR="00EC01C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უნდა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წარედგინოს საწყისი მონაცემები ელექტროქსელური ორგანიზაციებიდან</w:t>
            </w:r>
            <w:r w:rsidR="00434474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ახალი ტექნიკური პირობების მისაღებად და ელექტროდანადგარების ტექნოლოგიურ მიერთებაზე ან მოხმარებული სიმძლავრეების გაზრდაზე ხელშეკრულებების დასადებად. მიერთების წერტილები უნდა შეთანხმდეს ელექტროქსელურ ორგანიზაციასთან და იმ ორგანიზაციასთან, რომელიც ობიექტს ამუშავებს.</w:t>
            </w:r>
          </w:p>
        </w:tc>
      </w:tr>
      <w:tr w:rsidR="00C54AAE" w:rsidRPr="000508A4" w14:paraId="770547D3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A4AF4" w14:textId="1ECE59C6" w:rsidR="00C54AAE" w:rsidRPr="000508A4" w:rsidRDefault="00C54AAE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69EB" w14:textId="683DE68D" w:rsidR="00434474" w:rsidRPr="000508A4" w:rsidRDefault="00434474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საპროექტო დოკუმენტაციაში / ხელახალი </w:t>
            </w:r>
            <w:r w:rsidR="00EC01C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ტექნიკური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აღჭურვის დოკუმენტაციაში </w:t>
            </w:r>
            <w:r w:rsidR="00EC01C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უნდა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აისახოს</w:t>
            </w:r>
            <w:r w:rsidR="00677346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ელექტრული სიმძლავრის მოხმარების </w:t>
            </w:r>
            <w:r w:rsidR="00EC01C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ოპტიმიზაციის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ტექნიკური გადაწყვეტილებები</w:t>
            </w:r>
            <w:r w:rsidR="00677346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.</w:t>
            </w:r>
            <w:r w:rsidR="00EC01CC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რეკონსტრუქციის წარმოებისას ჩატარებული უნდა იქნეს რეკონსტრუქციამდე და რეკონსტრუქციის შემდეგ ენერგომოხმარების შედარებითი ანალიზი (ელექტრობის მიმღებების მაქსიმალური სიმძლავრე და ელექტროენერგიის მოხმარება ერთი წლის განმავლობაში).</w:t>
            </w:r>
          </w:p>
          <w:p w14:paraId="6D29C8B2" w14:textId="02B0D791" w:rsidR="000962CE" w:rsidRPr="000508A4" w:rsidRDefault="00EC01CC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უნდა მოხდეს აქტიური/რეაქტიული სიმძლავრეების ბალანსის გაანგარიშება.</w:t>
            </w:r>
          </w:p>
        </w:tc>
      </w:tr>
      <w:tr w:rsidR="00C54AAE" w:rsidRPr="000508A4" w14:paraId="12EADFCE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B34B3" w14:textId="77777777" w:rsidR="00C54AAE" w:rsidRPr="000508A4" w:rsidRDefault="00C54AAE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A745" w14:textId="6FB81A19" w:rsidR="00C54AAE" w:rsidRPr="000508A4" w:rsidRDefault="00EC01CC" w:rsidP="00897B0D">
            <w:pPr>
              <w:tabs>
                <w:tab w:val="left" w:pos="1843"/>
              </w:tabs>
              <w:spacing w:line="264" w:lineRule="auto"/>
              <w:jc w:val="both"/>
              <w:outlineLvl w:val="3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ელექტრომომარაგების სისტემა უნდა უზრუნველყოფდეს თანაბარ დატვირთვას</w:t>
            </w:r>
            <w:r w:rsidR="004C1218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, დატვირთვის სიმეტრიულ განაწილებას ფაზებს შორის, შემავალი, სექციური და გამომავალი ამომრთველების სელექციურობას.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</w:p>
        </w:tc>
      </w:tr>
      <w:tr w:rsidR="0008345B" w:rsidRPr="000508A4" w14:paraId="6EBD81FE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911AC" w14:textId="77777777" w:rsidR="0008345B" w:rsidRPr="000508A4" w:rsidRDefault="0008345B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EE4B" w14:textId="107E6656" w:rsidR="0008345B" w:rsidRPr="000508A4" w:rsidRDefault="004C1218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საპროექტო დოკუმენტაციაში / ხელახალი ტექნიკური აღჭურვის დოკუმენტაციაში უნდა აისახოს 110 კვ მკვებავი ხაზებისა და მათი შესაბამისი საკომუტაციო აპარატურის მოდერნიზაციის აუცილებლობის/მიზანშეწონილობის ტექნიკური გადაწყვეტილებები.</w:t>
            </w:r>
          </w:p>
        </w:tc>
      </w:tr>
      <w:tr w:rsidR="0008345B" w:rsidRPr="000508A4" w14:paraId="2B2816AB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38ED5" w14:textId="77777777" w:rsidR="0008345B" w:rsidRPr="000508A4" w:rsidRDefault="0008345B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EF35" w14:textId="6F3D2D87" w:rsidR="004C1218" w:rsidRPr="000508A4" w:rsidRDefault="004C1218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ობიექტზე გამოყენებული ტექნიკური საშუალებები მდგრადი უნდა იყოს მეხით და ელექტროსტატიკური გან</w:t>
            </w:r>
            <w:r w:rsidR="00416D7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მუხტვებით გამოწვეული ელექტრომაგნიტური ზემოქმედების, ელექტრომაგნიტური ბუნების სხვაგვარი ზემოქმედებების, ასევე, ელექტრომომარაგების წრედებში წარმოქმნილი ავარიული და კომუტაციური გარდამავალი პროცესების მიმართ. ტექნიკური საშუალებების ელექტრული წრედების დასაცავად გამოყენებული უნდა იყოს </w:t>
            </w:r>
            <w:bookmarkStart w:id="0" w:name="_Hlk228712954"/>
            <w:r w:rsidR="00416D7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იმპულსური გადამეტტვირთვისგან დაცვის მოწყობილობები </w:t>
            </w:r>
            <w:bookmarkEnd w:id="0"/>
            <w:r w:rsidR="00416D7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(УЗИП).</w:t>
            </w:r>
          </w:p>
          <w:p w14:paraId="122B88B4" w14:textId="35EDECF6" w:rsidR="0008345B" w:rsidRPr="000508A4" w:rsidRDefault="00416D7E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გათვალისწინებული უნდა იყოს დასაპროექტებელ მოწყობილობაზე მაღალი პოტენციალების ზემოქმედების თავიდან აცილების ღონისძიებების კომპლექსი.</w:t>
            </w:r>
          </w:p>
        </w:tc>
      </w:tr>
      <w:tr w:rsidR="0008345B" w:rsidRPr="000508A4" w14:paraId="17449449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498CD" w14:textId="77777777" w:rsidR="0008345B" w:rsidRPr="000508A4" w:rsidRDefault="0008345B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DACB" w14:textId="43313018" w:rsidR="0008345B" w:rsidRPr="000508A4" w:rsidRDefault="00416D7E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პროექტში გამოყენებულმა მოწყობილობებმა უნდა უზრუნველყოს </w:t>
            </w:r>
            <w:r w:rsidR="00241BB6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ენერგეტიკის</w:t>
            </w:r>
            <w:r w:rsidR="00406C6D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მართვის ავტომატიზებულ სისტემაში (АСУ Э)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კონტროლისა და მართვის ძირითადი სიგნალების გამოყვანა</w:t>
            </w:r>
            <w:r w:rsidR="00406C6D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.</w:t>
            </w:r>
          </w:p>
        </w:tc>
      </w:tr>
      <w:tr w:rsidR="0008345B" w:rsidRPr="000508A4" w14:paraId="6BC49AC6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B92F9" w14:textId="77777777" w:rsidR="0008345B" w:rsidRPr="000508A4" w:rsidRDefault="0008345B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20E3" w14:textId="41D0B212" w:rsidR="0008345B" w:rsidRPr="000508A4" w:rsidRDefault="00406C6D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საპროექტო დოკუმენტაციაში / ხელახალი ტექნიკური აღჭურვის დოკუმენტაციაში გათვალისწინებული უნდა იყოს დაცვის მიკროპროცესორული მოწყობილობების ოპერატიული წრედების კვება მუდმივი დენის სისტემიდან (СПТ) 220 ვ მუდმივი ოპერატიული დენით. </w:t>
            </w:r>
            <w:r w:rsidR="003D5A5D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მუდმივი დენის სისტემის აკუმულატორების ბატარეები (АБ СПТ) არ უნდა საჭიროებდეს მომსახურებას ექსპლუატაციის მთელი ვადის განმავლობაში, მათ უნდა ახასიათებდეს მაღალი საექსპლუატაციო უსაფრთხოება და საიმედოობა და გამოსადეგობის ხანგრძლივი ვადა (არანაკლებ 15 წელი).</w:t>
            </w:r>
          </w:p>
        </w:tc>
      </w:tr>
      <w:tr w:rsidR="0008345B" w:rsidRPr="000508A4" w14:paraId="02B765D6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76FFE" w14:textId="77777777" w:rsidR="0008345B" w:rsidRPr="000508A4" w:rsidRDefault="0008345B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3253" w14:textId="5D4516C3" w:rsidR="0008345B" w:rsidRPr="000508A4" w:rsidRDefault="003D5A5D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საპროექტო დოკუმენტაციაში / ხელახალი ტექნიკური აღჭურვის დოკუმენტაციაში გათვალისწინებული უნდა იყოს ელექტროენერგიის აღრიცხვის ხელსაწყოები მოხმარებული ელექტრული ენერგიის ტექნიკური / კომერციული აღრიცხვისთვის.</w:t>
            </w:r>
          </w:p>
        </w:tc>
      </w:tr>
      <w:tr w:rsidR="0008345B" w:rsidRPr="000508A4" w14:paraId="39FC3603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3D03E" w14:textId="77777777" w:rsidR="0008345B" w:rsidRPr="000508A4" w:rsidRDefault="0008345B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AAC6" w14:textId="3F82802D" w:rsidR="0008345B" w:rsidRPr="000508A4" w:rsidRDefault="003D5A5D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საპროექტო დოკუმენტაციაში / ხელახალი ტექნიკური აღჭურვის დოკუმენტაციაში უნდა აისახოს</w:t>
            </w:r>
            <w:r w:rsidR="007B02FA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რეზერვის სწრაფმოქმედი ავტომატური შეყვანის მოწყობილობის (БАВР) გამოყენების შესაძლებლობების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ტექნიკური გადაწყვეტილებები</w:t>
            </w:r>
            <w:r w:rsidR="007B02FA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. რეზერვის სწრაფმოქმედი ავტომატური შეყვანის მოწყობილობის (БАВР) გამოყენების შეუძლებლობის შემთხვევაში შემოთავაზებული უნდა იყოს ალტერნატიული გადაწყვეტილებები, რომლებიც იძლევა ელექტრომომარაგების საიმედოობის კატეგორიის მოთხოვნების მიღწევის შესაძლებლობას.</w:t>
            </w:r>
          </w:p>
        </w:tc>
      </w:tr>
      <w:tr w:rsidR="0008345B" w:rsidRPr="000508A4" w14:paraId="16DC016E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54A64" w14:textId="77777777" w:rsidR="0008345B" w:rsidRPr="000508A4" w:rsidRDefault="0008345B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C728" w14:textId="731C69B1" w:rsidR="0008345B" w:rsidRPr="000508A4" w:rsidRDefault="007B02FA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საპროექტო დოკუმენტაციაში / ხელახალი ტექნიკური აღჭურვის დოკუმენტაციაში უნდა აისახოს რეაქტიული სიმძლავრის კომპენსაციის ტექნიკური გადაწყვეტილებები. უნდა აისახოს მაკომპენსირებელი მოწყობილობების დაყენების მიზანშეწონილობა.</w:t>
            </w:r>
          </w:p>
        </w:tc>
      </w:tr>
      <w:tr w:rsidR="0008345B" w:rsidRPr="000508A4" w14:paraId="159C7239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FF34B" w14:textId="77777777" w:rsidR="0008345B" w:rsidRPr="000508A4" w:rsidRDefault="0008345B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431D" w14:textId="4A256586" w:rsidR="0008345B" w:rsidRPr="000508A4" w:rsidRDefault="007B02FA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საპროექტო დოკუმენტაციაში / ხელახალი ტექნიკური აღჭურვის დოკუმენტაციაში გამოყენებული უნდა იქნეს</w:t>
            </w:r>
            <w:r w:rsidR="00983CDA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მატერიალურ-ტექნიკური რესურსებისადმი მოთხოვნების ტიპური გამოკითხვის ფურცლები კონკრეტული შესყიდვებისა და მოწყობილობების საწყისი (მაქსიმალური) ფასების დასადგენად.</w:t>
            </w:r>
          </w:p>
        </w:tc>
      </w:tr>
      <w:tr w:rsidR="0008345B" w:rsidRPr="000508A4" w14:paraId="2FFAE0CA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21BD2" w14:textId="77777777" w:rsidR="0008345B" w:rsidRPr="000508A4" w:rsidRDefault="0008345B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210E" w14:textId="7E38AF1F" w:rsidR="0008345B" w:rsidRPr="000508A4" w:rsidRDefault="00983CDA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საპროექტო დოკუმენტაცია შესრულდეს მოქმედი ნორმატიულ-ტექნიკური დოკუმენტაციის (</w:t>
            </w:r>
            <w:r w:rsidR="0008345B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НТД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) შესაბამისად.</w:t>
            </w:r>
          </w:p>
        </w:tc>
      </w:tr>
      <w:tr w:rsidR="0008345B" w:rsidRPr="000508A4" w14:paraId="30435451" w14:textId="77777777" w:rsidTr="006B462B">
        <w:trPr>
          <w:gridAfter w:val="1"/>
          <w:wAfter w:w="4253" w:type="dxa"/>
        </w:trPr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99A6" w14:textId="3900A85B" w:rsidR="0008345B" w:rsidRPr="000508A4" w:rsidRDefault="00983CDA" w:rsidP="00897B0D">
            <w:pPr>
              <w:snapToGrid w:val="0"/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ზოგადი მოთხოვნები სამუშაო დოკუმენტაციის მიმართ</w:t>
            </w:r>
          </w:p>
        </w:tc>
      </w:tr>
      <w:tr w:rsidR="00560FAE" w:rsidRPr="000508A4" w14:paraId="0DD6C113" w14:textId="77777777" w:rsidTr="006B462B">
        <w:trPr>
          <w:gridAfter w:val="1"/>
          <w:wAfter w:w="4253" w:type="dxa"/>
        </w:trPr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9521" w14:textId="0125DC96" w:rsidR="00560FAE" w:rsidRPr="000508A4" w:rsidRDefault="00983CDA" w:rsidP="00897B0D">
            <w:pPr>
              <w:snapToGrid w:val="0"/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ყველა გაანგარიშება და სქემა უნდა შესრულდეს </w:t>
            </w:r>
            <w:r w:rsidR="008E0FE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ელექტროდანადგარების მოწყობის წესების (</w:t>
            </w:r>
            <w:r w:rsidR="00560FA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ПУЭ</w:t>
            </w:r>
            <w:r w:rsidR="008E0FE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)</w:t>
            </w:r>
            <w:r w:rsidR="00560FA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მოქმედი</w:t>
            </w:r>
            <w:r w:rsidR="00560FA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="008E0FE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სამშენებლო ნორმებისა და წესების (</w:t>
            </w:r>
            <w:r w:rsidR="00560FA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СНИП</w:t>
            </w:r>
            <w:r w:rsidR="008E0FE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)</w:t>
            </w:r>
            <w:r w:rsidR="00560FA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="008E0FE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სახელმწიფო სტანდარტების (</w:t>
            </w:r>
            <w:r w:rsidR="00560FA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ГОСТ</w:t>
            </w:r>
            <w:r w:rsidR="008E0FE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) და</w:t>
            </w:r>
            <w:r w:rsidR="00560FA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IEC</w:t>
            </w:r>
            <w:r w:rsidR="008E0FE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შესაბამისად</w:t>
            </w:r>
          </w:p>
        </w:tc>
      </w:tr>
      <w:tr w:rsidR="000A4642" w:rsidRPr="000508A4" w14:paraId="2D816ECE" w14:textId="0E635ACE" w:rsidTr="006B462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34D51" w14:textId="77777777" w:rsidR="000A4642" w:rsidRPr="000508A4" w:rsidRDefault="000A4642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DB5D" w14:textId="12CCF58D" w:rsidR="000A4642" w:rsidRPr="000508A4" w:rsidRDefault="008E0FE2" w:rsidP="00897B0D">
            <w:pPr>
              <w:snapToGrid w:val="0"/>
              <w:spacing w:after="20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სამუშაო მოედნის პირობები</w:t>
            </w:r>
            <w:r w:rsidR="000A464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:</w:t>
            </w:r>
          </w:p>
        </w:tc>
        <w:tc>
          <w:tcPr>
            <w:tcW w:w="4253" w:type="dxa"/>
          </w:tcPr>
          <w:p w14:paraId="149F4D02" w14:textId="77777777" w:rsidR="000A4642" w:rsidRPr="000508A4" w:rsidRDefault="000A4642" w:rsidP="00897B0D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  <w:lang w:val="ka-GE"/>
              </w:rPr>
            </w:pPr>
          </w:p>
        </w:tc>
      </w:tr>
      <w:tr w:rsidR="000A4642" w:rsidRPr="000508A4" w14:paraId="20E54E01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32E0A" w14:textId="4C149748" w:rsidR="000A4642" w:rsidRPr="000508A4" w:rsidRDefault="000A4642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9DF84" w14:textId="1260DC23" w:rsidR="000A4642" w:rsidRPr="000508A4" w:rsidRDefault="008E0FE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გარემოს ტემპერატურა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B966" w14:textId="515BC3A0" w:rsidR="000A4642" w:rsidRPr="000508A4" w:rsidRDefault="000A464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-10</w:t>
            </w:r>
            <w:r w:rsidR="008E0FE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°C-დან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+45</w:t>
            </w:r>
            <w:r w:rsidR="008E0FE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°C-მდე</w:t>
            </w:r>
          </w:p>
        </w:tc>
      </w:tr>
      <w:tr w:rsidR="000A4642" w:rsidRPr="000508A4" w14:paraId="344DCBB7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4D17D" w14:textId="77777777" w:rsidR="000A4642" w:rsidRPr="000508A4" w:rsidRDefault="000A4642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5A6D0" w14:textId="79B14915" w:rsidR="000A4642" w:rsidRPr="000508A4" w:rsidRDefault="008E0FE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ჰაერის ფარდობითი ტენიანობა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3E2" w14:textId="094C10A2" w:rsidR="000A4642" w:rsidRPr="000508A4" w:rsidRDefault="000A464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50</w:t>
            </w:r>
            <w:r w:rsidR="008E0FE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-დან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100%</w:t>
            </w:r>
            <w:r w:rsidR="008E0FE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-მდე</w:t>
            </w:r>
          </w:p>
        </w:tc>
      </w:tr>
      <w:tr w:rsidR="000A4642" w:rsidRPr="000508A4" w14:paraId="34989269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62625" w14:textId="77777777" w:rsidR="000A4642" w:rsidRPr="000508A4" w:rsidRDefault="000A4642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24245" w14:textId="66A67E14" w:rsidR="000A4642" w:rsidRPr="000508A4" w:rsidRDefault="008E0FE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სეისმური აქტივობა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0909" w14:textId="3F5B6AF8" w:rsidR="000A4642" w:rsidRPr="000508A4" w:rsidRDefault="000A464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9 </w:t>
            </w:r>
            <w:r w:rsidR="008E0FE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ბალი</w:t>
            </w:r>
          </w:p>
        </w:tc>
      </w:tr>
      <w:tr w:rsidR="000A4642" w:rsidRPr="000508A4" w14:paraId="222A4406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18C7B" w14:textId="77777777" w:rsidR="000A4642" w:rsidRPr="000508A4" w:rsidRDefault="000A4642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721D4" w14:textId="0E5C3DAA" w:rsidR="000A4642" w:rsidRPr="000508A4" w:rsidRDefault="008E0FE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სიმაღლე ზღვის დონიდან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7F02" w14:textId="284E60B1" w:rsidR="000A4642" w:rsidRPr="000508A4" w:rsidRDefault="000A464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&lt;</w:t>
            </w:r>
            <w:r w:rsidR="008E0FE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1000</w:t>
            </w:r>
            <w:r w:rsidR="008E0FE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მ</w:t>
            </w:r>
          </w:p>
        </w:tc>
      </w:tr>
      <w:tr w:rsidR="000A4642" w:rsidRPr="000508A4" w14:paraId="0313F912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573C6" w14:textId="77777777" w:rsidR="000A4642" w:rsidRPr="000508A4" w:rsidRDefault="000A4642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7352A" w14:textId="1226D91C" w:rsidR="000A4642" w:rsidRPr="000508A4" w:rsidRDefault="008E0FE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თოვლით დატვირთვა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7BFB" w14:textId="6A36E90A" w:rsidR="000A4642" w:rsidRPr="000508A4" w:rsidRDefault="008E0FE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მოგვიანებით დაზუსტდეს</w:t>
            </w:r>
          </w:p>
        </w:tc>
      </w:tr>
      <w:tr w:rsidR="002238C1" w:rsidRPr="000508A4" w14:paraId="0D9323B3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82D81" w14:textId="77777777" w:rsidR="002238C1" w:rsidRPr="000508A4" w:rsidRDefault="002238C1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681EE" w14:textId="25EC221D" w:rsidR="002238C1" w:rsidRPr="000508A4" w:rsidRDefault="008E0FE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ელექტრული ძაბვის ხარისხი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8005" w14:textId="27E55F5E" w:rsidR="002238C1" w:rsidRPr="000508A4" w:rsidRDefault="008E0FE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მოწყობილობის მუშაობა უნდა შეესაბამებოდეს სახელმწიფო სტანდარტის </w:t>
            </w:r>
            <w:r w:rsidR="002238C1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ГОСТ 54149-2010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ან</w:t>
            </w:r>
            <w:r w:rsidR="002238C1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IEC-61000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მოთხოვნებს</w:t>
            </w:r>
          </w:p>
        </w:tc>
      </w:tr>
      <w:tr w:rsidR="00C54EA8" w:rsidRPr="000508A4" w14:paraId="6F4127AE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D61CB" w14:textId="77777777" w:rsidR="00C54EA8" w:rsidRPr="000508A4" w:rsidRDefault="00C54EA8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F711" w14:textId="1D0A981C" w:rsidR="00C54EA8" w:rsidRPr="000508A4" w:rsidRDefault="008E0FE2" w:rsidP="00897B0D">
            <w:pPr>
              <w:pStyle w:val="BodyText"/>
              <w:tabs>
                <w:tab w:val="left" w:pos="1134"/>
              </w:tabs>
              <w:spacing w:line="264" w:lineRule="auto"/>
              <w:ind w:right="-2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რეაქტიული სიმძლავრის კომპენსაცია</w:t>
            </w:r>
            <w:r w:rsidR="00C54EA8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5456" w14:textId="6ED507FB" w:rsidR="00C54EA8" w:rsidRPr="000508A4" w:rsidRDefault="008E0FE2" w:rsidP="00897B0D">
            <w:pPr>
              <w:pStyle w:val="BodyText"/>
              <w:tabs>
                <w:tab w:val="left" w:pos="1134"/>
              </w:tabs>
              <w:spacing w:line="264" w:lineRule="auto"/>
              <w:ind w:right="-2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რეაქტიული სიმძლავრის კომპენსაციისთვის</w:t>
            </w:r>
            <w:r w:rsidR="00BE69F6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განმანაწილებელი მოწყობილობის (РУ-10кВ) 10 კვ სალტეებზე გათვალისწინებული უნდა იყოს კონდენსატორული დანადგარები გენერირებული რეაქტიული სიმძლავრის ავტომატური რეგულირებით. სიმძლავრის კოეფიციენტის მნიშვნელობა 10 კვ სალტეებზე უნდა იყოს არანაკლებ 0,97.</w:t>
            </w:r>
          </w:p>
        </w:tc>
      </w:tr>
      <w:tr w:rsidR="00175C18" w:rsidRPr="000508A4" w14:paraId="67845C1B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31BA6" w14:textId="77777777" w:rsidR="00175C18" w:rsidRPr="000508A4" w:rsidRDefault="00175C18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3F88" w14:textId="7271449A" w:rsidR="00175C18" w:rsidRPr="000508A4" w:rsidRDefault="00BE69F6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სქემები</w:t>
            </w:r>
            <w:r w:rsidR="00175C18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:</w:t>
            </w:r>
          </w:p>
          <w:p w14:paraId="7932C636" w14:textId="27125052" w:rsidR="00175C18" w:rsidRPr="000508A4" w:rsidRDefault="00BE69F6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–</w:t>
            </w:r>
            <w:r w:rsidR="00175C18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ერთხაზიანი</w:t>
            </w:r>
            <w:r w:rsidR="00175C18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</w:p>
          <w:p w14:paraId="719BC2FF" w14:textId="0002E43B" w:rsidR="00175C18" w:rsidRPr="000508A4" w:rsidRDefault="00BE69F6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–</w:t>
            </w:r>
            <w:r w:rsidR="00175C18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სარელეო დაცვისა და ავტომატიკის სქემები (РЗиА)</w:t>
            </w:r>
          </w:p>
          <w:p w14:paraId="7600D0A7" w14:textId="3AF8145E" w:rsidR="000962CE" w:rsidRPr="000508A4" w:rsidRDefault="00BE69F6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–</w:t>
            </w:r>
            <w:r w:rsidR="000962C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ოპერატიული კვების განაწილების სქემები </w:t>
            </w:r>
          </w:p>
          <w:p w14:paraId="05C42045" w14:textId="17F9E359" w:rsidR="00175C18" w:rsidRPr="000508A4" w:rsidRDefault="00BE69F6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–</w:t>
            </w:r>
            <w:r w:rsidR="00175C18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="00D1503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ოპერატიული კვების წყაროების სქემები</w:t>
            </w:r>
          </w:p>
          <w:p w14:paraId="143F6D62" w14:textId="4C9F5E67" w:rsidR="00D1503E" w:rsidRPr="000508A4" w:rsidRDefault="00D1503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– დამიწებისა და მეხისგან დაცვის ბლოკ-სქემები</w:t>
            </w:r>
          </w:p>
          <w:p w14:paraId="19473956" w14:textId="1EC800E1" w:rsidR="00D1503E" w:rsidRPr="000508A4" w:rsidRDefault="00D1503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– კომერციული და ტექნიკური აღრიცხვის საშუალებათა დაყენების სქემები</w:t>
            </w:r>
          </w:p>
          <w:p w14:paraId="64673D56" w14:textId="1402A86A" w:rsidR="00175C18" w:rsidRPr="000508A4" w:rsidRDefault="00D1503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– ქვესადგურის მოწყობილობების დაყენების სქემები</w:t>
            </w:r>
          </w:p>
          <w:p w14:paraId="37B693E0" w14:textId="1364BDD3" w:rsidR="00D1503E" w:rsidRPr="000508A4" w:rsidRDefault="00D1503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– ელექტროენერგიის კომერციული აღრიცხვის ავტომატიზებული სისტემის (АСКУЭ) საშუალებების დაყენების სქემები</w:t>
            </w:r>
          </w:p>
          <w:p w14:paraId="2422D64F" w14:textId="5D0692BE" w:rsidR="00175C18" w:rsidRPr="000508A4" w:rsidRDefault="00D1503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– საკაბელო ტრასების სქემები საკაბელო ჟურნალებთან მიბმით (საკაბელო ჟურნალები ფორმატში Excel)</w:t>
            </w:r>
          </w:p>
        </w:tc>
      </w:tr>
      <w:tr w:rsidR="000A4642" w:rsidRPr="000508A4" w14:paraId="73D9A9A4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D1E98" w14:textId="1B2E3303" w:rsidR="000A4642" w:rsidRPr="000508A4" w:rsidRDefault="000A4642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B57C8" w14:textId="667955F9" w:rsidR="000A4642" w:rsidRPr="000508A4" w:rsidRDefault="00D1503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ელექტრომაგნიტური თავსებადობა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4DBB" w14:textId="0B0D698E" w:rsidR="000A4642" w:rsidRPr="000508A4" w:rsidRDefault="00D1503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სახელმწიფო სტანდარტის</w:t>
            </w:r>
            <w:r w:rsidR="00175C18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ГОСТ 54149-2010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მიხედვით</w:t>
            </w:r>
          </w:p>
        </w:tc>
      </w:tr>
      <w:tr w:rsidR="00175C18" w:rsidRPr="000508A4" w14:paraId="0F56D873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6F2AF" w14:textId="77777777" w:rsidR="00175C18" w:rsidRPr="000508A4" w:rsidRDefault="00175C18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C3A2" w14:textId="1D439095" w:rsidR="00175C18" w:rsidRPr="000508A4" w:rsidRDefault="00D1503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სარელეო დაცვა</w:t>
            </w:r>
            <w:r w:rsidR="00175C18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(ANSI)</w:t>
            </w:r>
          </w:p>
        </w:tc>
      </w:tr>
      <w:tr w:rsidR="00175C18" w:rsidRPr="000508A4" w14:paraId="69C455DF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14AB3" w14:textId="77777777" w:rsidR="00175C18" w:rsidRPr="000508A4" w:rsidRDefault="00175C18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BA45E" w14:textId="5329E98A" w:rsidR="00175C18" w:rsidRPr="000508A4" w:rsidRDefault="00D1503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ხაზი</w:t>
            </w:r>
            <w:r w:rsidR="00175C18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110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 კვ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A734" w14:textId="02D96740" w:rsidR="00175C18" w:rsidRPr="000508A4" w:rsidRDefault="00175C18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21,50,51,51V,51,51N,46BC,79,81,50BF,87</w:t>
            </w:r>
          </w:p>
        </w:tc>
      </w:tr>
      <w:tr w:rsidR="00175C18" w:rsidRPr="000508A4" w14:paraId="772AD070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29F9F" w14:textId="77777777" w:rsidR="00175C18" w:rsidRPr="000508A4" w:rsidRDefault="00175C18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28774" w14:textId="7A29C71A" w:rsidR="00175C18" w:rsidRPr="000508A4" w:rsidRDefault="00D1503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ტრანსფორმატორები</w:t>
            </w:r>
            <w:r w:rsidR="00175C18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110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კვ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4E2C" w14:textId="45F8B19A" w:rsidR="00175C18" w:rsidRPr="000508A4" w:rsidRDefault="00175C18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49,50,50N,51, 51N, 67N, 87,86,95</w:t>
            </w:r>
          </w:p>
        </w:tc>
      </w:tr>
      <w:tr w:rsidR="00175C18" w:rsidRPr="00112B79" w14:paraId="090D9FC8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E8049" w14:textId="77777777" w:rsidR="00175C18" w:rsidRPr="000508A4" w:rsidRDefault="00175C18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C45CB" w14:textId="63961C91" w:rsidR="00175C18" w:rsidRPr="000508A4" w:rsidRDefault="00D1503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განმანაწილებელი მოწყობილობა</w:t>
            </w:r>
            <w:r w:rsidR="00175C18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10/6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 კვ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24FB" w14:textId="6F87F666" w:rsidR="00175C18" w:rsidRPr="000508A4" w:rsidRDefault="00175C18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27, 50BF</w:t>
            </w:r>
            <w:r w:rsidR="00D20FAD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, 67N, 51, 51N,87,86,95, ЛЗШ</w:t>
            </w:r>
            <w:r w:rsidR="003660CF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, АВР</w:t>
            </w:r>
          </w:p>
        </w:tc>
      </w:tr>
      <w:tr w:rsidR="002238C1" w:rsidRPr="000508A4" w14:paraId="192B8D67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E6AEF" w14:textId="77777777" w:rsidR="002238C1" w:rsidRPr="000508A4" w:rsidRDefault="002238C1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94312" w14:textId="676A04D8" w:rsidR="002238C1" w:rsidRPr="000508A4" w:rsidRDefault="00D1503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გაზომვა და აღრიცხვა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AD00" w14:textId="7F76ACC1" w:rsidR="00D1503E" w:rsidRPr="000508A4" w:rsidRDefault="00D1503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გათვალისწინებულ იქნეს კომერციული აღრიცხვა 110 კვ შემყვანებზე და 10/6 კვ შემყვანებზე.</w:t>
            </w:r>
          </w:p>
          <w:p w14:paraId="26AEC0EA" w14:textId="2C91900D" w:rsidR="002238C1" w:rsidRPr="000508A4" w:rsidRDefault="00D1503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გათვალისწინებულ იქნეს კომერციული აღრიცხვა ყველა სხვა შეერთებებზე.</w:t>
            </w:r>
            <w:r w:rsidR="00FD718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გაზომვის საშუალებები მზად უნდა იყოს ელექტროენერგიის კომერციული აღრიცხვის ავტომატიზებულ სისტემაში (АСКУЭ) ინტეგრაციისთვის.</w:t>
            </w:r>
          </w:p>
        </w:tc>
      </w:tr>
      <w:tr w:rsidR="00584405" w:rsidRPr="000508A4" w14:paraId="1ECC2AD7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215EC" w14:textId="0FD52C9D" w:rsidR="00584405" w:rsidRPr="000508A4" w:rsidRDefault="00584405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FF44B" w14:textId="7976954F" w:rsidR="00584405" w:rsidRPr="000508A4" w:rsidRDefault="00FD718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სიზუსტის კლასი კომერციული აღრიცხვისთვის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E139" w14:textId="71D11825" w:rsidR="00584405" w:rsidRPr="000508A4" w:rsidRDefault="00584405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0,5</w:t>
            </w:r>
          </w:p>
        </w:tc>
      </w:tr>
      <w:tr w:rsidR="00584405" w:rsidRPr="000508A4" w14:paraId="67B5A482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FA7F4" w14:textId="77777777" w:rsidR="00584405" w:rsidRPr="000508A4" w:rsidRDefault="00584405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B1362" w14:textId="444CEA30" w:rsidR="00584405" w:rsidRPr="000508A4" w:rsidRDefault="00FD718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სიზუსტის კლასი დენის ტრანსფორმატორებისთვის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A43" w14:textId="7ED413A6" w:rsidR="00584405" w:rsidRPr="000508A4" w:rsidRDefault="00584405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0,5 </w:t>
            </w:r>
            <w:r w:rsidR="00FD718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გაზომვისთვის</w:t>
            </w:r>
          </w:p>
          <w:p w14:paraId="6D3364F9" w14:textId="15C99C2B" w:rsidR="00584405" w:rsidRPr="000508A4" w:rsidRDefault="00584405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5Р </w:t>
            </w:r>
            <w:r w:rsidR="00FD7182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დაცვისთვის</w:t>
            </w:r>
          </w:p>
        </w:tc>
      </w:tr>
      <w:tr w:rsidR="00FD7182" w:rsidRPr="000508A4" w14:paraId="341C3C94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A5D23" w14:textId="77777777" w:rsidR="00FD7182" w:rsidRPr="000508A4" w:rsidRDefault="00FD7182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3D305" w14:textId="1FF536B3" w:rsidR="00FD7182" w:rsidRPr="000508A4" w:rsidRDefault="00FD718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სიზუსტის კლასი ძაბვის ტრანსფორმატორებისთვის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4C73" w14:textId="77777777" w:rsidR="00FD7182" w:rsidRPr="000508A4" w:rsidRDefault="00FD718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0,5 გაზომვისთვის</w:t>
            </w:r>
          </w:p>
          <w:p w14:paraId="6C632F58" w14:textId="5BBCBC54" w:rsidR="00FD7182" w:rsidRPr="000508A4" w:rsidRDefault="00FD718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5Р დაცვისთვის</w:t>
            </w:r>
          </w:p>
        </w:tc>
      </w:tr>
      <w:tr w:rsidR="00C54EA8" w:rsidRPr="000508A4" w14:paraId="28AD92F0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02159" w14:textId="77777777" w:rsidR="00C54EA8" w:rsidRPr="000508A4" w:rsidRDefault="00C54EA8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8CDC" w14:textId="3CBC02B9" w:rsidR="00C54EA8" w:rsidRPr="000508A4" w:rsidRDefault="00FD718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ელექტრომომარაგების </w:t>
            </w:r>
            <w:r w:rsidR="00751ED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დისპეჩერიზაცია</w:t>
            </w:r>
            <w:r w:rsidR="00C54EA8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:</w:t>
            </w:r>
          </w:p>
        </w:tc>
      </w:tr>
      <w:tr w:rsidR="00584405" w:rsidRPr="000508A4" w14:paraId="6D62C901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B71CC" w14:textId="77777777" w:rsidR="00584405" w:rsidRPr="000508A4" w:rsidRDefault="00584405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7606" w14:textId="184746F4" w:rsidR="00584405" w:rsidRPr="000508A4" w:rsidRDefault="00FD718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გათვალისწინებულ იქნეს მონაცემთა კონტროლისა და შეგროვების სისტემა, რომელიც შემდეგ ფუნქციებს ასრულებს (უკვე არსებული და ახლად დასაპროექტებელი მოწყობილობების გათვალისწინებით)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684C" w14:textId="6A87798A" w:rsidR="00584405" w:rsidRPr="000508A4" w:rsidRDefault="00FD718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– მონიტორინგი</w:t>
            </w:r>
          </w:p>
          <w:p w14:paraId="622E1655" w14:textId="4FB8C267" w:rsidR="00FD7182" w:rsidRPr="000508A4" w:rsidRDefault="00FD718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მიმდინარე მონაცემების ან/და საავარიო სიტუაციების შესახებ მონაცემების ჩაწერა</w:t>
            </w:r>
          </w:p>
          <w:p w14:paraId="4D41B8FE" w14:textId="3C3371E7" w:rsidR="002238C1" w:rsidRPr="000508A4" w:rsidRDefault="00FD718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– დაგროვებული მონაცემების დამუშავება</w:t>
            </w:r>
          </w:p>
        </w:tc>
      </w:tr>
      <w:tr w:rsidR="002238C1" w:rsidRPr="000508A4" w14:paraId="7F66C5A4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8C41A" w14:textId="77777777" w:rsidR="002238C1" w:rsidRPr="000508A4" w:rsidRDefault="002238C1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EB41" w14:textId="1144BE11" w:rsidR="00FD7182" w:rsidRPr="000508A4" w:rsidRDefault="00FD718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განმანაწილებელი მოწყობილობების ამომრთველების მართვა არ არის გათვალისწინებული.</w:t>
            </w:r>
          </w:p>
          <w:p w14:paraId="1468468A" w14:textId="7A67CF03" w:rsidR="002238C1" w:rsidRPr="000508A4" w:rsidRDefault="00FD7182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გათვალისწინებული უნდა იყოს უკვე არსებული განმანაწილებელი მოწყობილობა (РУ) 10,6 და 380В</w:t>
            </w:r>
            <w:r w:rsidR="00751ED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დისპეტჩერიზაციის საერთო სისტემის შედგენილობაში.</w:t>
            </w:r>
          </w:p>
        </w:tc>
      </w:tr>
      <w:tr w:rsidR="00DC43C6" w:rsidRPr="000508A4" w14:paraId="1AB1C56A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216DF" w14:textId="77777777" w:rsidR="00DC43C6" w:rsidRPr="000508A4" w:rsidRDefault="00DC43C6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114E" w14:textId="7675E426" w:rsidR="00DC43C6" w:rsidRPr="000508A4" w:rsidRDefault="00751ED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ელექტრომოწყობილობები</w:t>
            </w:r>
            <w:r w:rsidR="00DC43C6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.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კონსტრუქციული გადაწყვეტილებები</w:t>
            </w:r>
            <w:r w:rsidR="00DC43C6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.</w:t>
            </w:r>
          </w:p>
        </w:tc>
      </w:tr>
      <w:tr w:rsidR="00DC43C6" w:rsidRPr="000508A4" w14:paraId="632D6E7C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DCD8C" w14:textId="77777777" w:rsidR="00DC43C6" w:rsidRPr="000508A4" w:rsidRDefault="00DC43C6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18FE" w14:textId="776E89DC" w:rsidR="00DC43C6" w:rsidRPr="000508A4" w:rsidRDefault="00751ED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ძირითადი ელექტრული მოწყობილობები განთავსებულია არსებული ქვესადგურის – 110/10/6 კვ „მადნეული“ ადგილზე. სამუშაო დოკუმენტაციაში წარმოდგენილი უნდა იყოს ელექტრომოწყობილობების განთავსების განახლებული გეგმები.</w:t>
            </w:r>
          </w:p>
        </w:tc>
      </w:tr>
      <w:tr w:rsidR="00584405" w:rsidRPr="000508A4" w14:paraId="400504C4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BAE23" w14:textId="77777777" w:rsidR="00584405" w:rsidRPr="000508A4" w:rsidRDefault="00584405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44350" w14:textId="0122A117" w:rsidR="00584405" w:rsidRPr="000508A4" w:rsidRDefault="00751ED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ძალური ტრანსფორმატორები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4540" w14:textId="2CF54627" w:rsidR="00751EDE" w:rsidRPr="000508A4" w:rsidRDefault="007C75FA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სხვა სათავსებისგან ან მოწყობილობებისგან გამოყოფილი უნდა იყოს </w:t>
            </w:r>
            <w:r w:rsidR="00751ED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ცეცხლგამძლე ან აგურის კედ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ლით.</w:t>
            </w:r>
          </w:p>
          <w:p w14:paraId="013742A9" w14:textId="7205961A" w:rsidR="003660CF" w:rsidRPr="000508A4" w:rsidRDefault="007C75FA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პროექტში წარმოდგენილი უნდა იყოს ნეიტრალის დამიწების სისტემის </w:t>
            </w:r>
            <w:r w:rsidR="00751ED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ტექნიკურ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-ეკონომიკური დასაბუთება.</w:t>
            </w:r>
          </w:p>
        </w:tc>
      </w:tr>
      <w:tr w:rsidR="00584405" w:rsidRPr="000508A4" w14:paraId="506B2D63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4C638" w14:textId="0957FE9E" w:rsidR="00584405" w:rsidRPr="000508A4" w:rsidRDefault="00584405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50D9D" w14:textId="1964D64C" w:rsidR="00584405" w:rsidRPr="000508A4" w:rsidRDefault="00FF1BA8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სარელეო დაცვის</w:t>
            </w:r>
            <w:r w:rsidR="005A59D9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(</w:t>
            </w:r>
            <w:r w:rsidR="005A59D9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РЗА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) პანელები</w:t>
            </w:r>
            <w:r w:rsidR="005A59D9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ოპერატიული კვების წყაროები</w:t>
            </w:r>
            <w:r w:rsidR="005A59D9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ელექტროენერგიის კომერციული აღრიცხვის ავტომატიზებული სისტემის (АСКУЭ) სერვერები</w:t>
            </w:r>
            <w:r w:rsidR="005A59D9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0D83" w14:textId="237E697E" w:rsidR="00584405" w:rsidRPr="000508A4" w:rsidRDefault="00FF1BA8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განთავსდეს დახურულ სათავსში. განხილულ იქნეს უკვე არსებული სათავსის გამოყენების შესაძლებლობა კოსმეტიკური რემონტის ჩატარების შემდეგ.</w:t>
            </w:r>
          </w:p>
        </w:tc>
      </w:tr>
      <w:tr w:rsidR="005A59D9" w:rsidRPr="000508A4" w14:paraId="7C32C1B0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91142" w14:textId="77777777" w:rsidR="005A59D9" w:rsidRPr="000508A4" w:rsidRDefault="005A59D9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DF0C" w14:textId="467C4974" w:rsidR="00FF1BA8" w:rsidRPr="000508A4" w:rsidRDefault="00FF1BA8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ზემოთ ჩამოთვლილი ყველა მოწყობილობა მიღებული უნდა იქნეს საერთო (ზოგადი) სამრეწველო შესრულებით.</w:t>
            </w:r>
          </w:p>
          <w:p w14:paraId="75955034" w14:textId="062F6E88" w:rsidR="00D90103" w:rsidRPr="000508A4" w:rsidRDefault="00FF1BA8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გათვალისწინებული უნდა იქნეს ვენტილაციისა და კონდიცირების სისტემები</w:t>
            </w:r>
            <w:r w:rsidR="00B728A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სათავსებისთვის, სადაც მოეწყობა მუდმივი დენის სისტემა (</w:t>
            </w:r>
            <w:r w:rsidR="00D90103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СПТ</w:t>
            </w:r>
            <w:r w:rsidR="00B728A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)</w:t>
            </w:r>
            <w:r w:rsidR="00D90103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="00B728A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სარელეო დაცვია (РЗА) და ელექტროენერგიის კომერციული აღრიცხვის ავტომატიზებული სისტემა (АСКУЭ) </w:t>
            </w:r>
            <w:r w:rsidR="00D90103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.</w:t>
            </w:r>
          </w:p>
        </w:tc>
      </w:tr>
      <w:tr w:rsidR="005A59D9" w:rsidRPr="000508A4" w14:paraId="025CD45A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90D18" w14:textId="77777777" w:rsidR="005A59D9" w:rsidRPr="000508A4" w:rsidRDefault="005A59D9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82124" w14:textId="0BD50D6C" w:rsidR="005A59D9" w:rsidRPr="000508A4" w:rsidRDefault="00B728A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დამიწება და მეხისგან დავა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509A" w14:textId="0FB57081" w:rsidR="005A59D9" w:rsidRPr="000508A4" w:rsidRDefault="00B728A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მოხდეს დამიწებისა და მეხისგან დაცვის გაანგარიშება, პროექტში წარმოდგენილ იქნეს დამიწებისა და მეხისგან დაცვის სისტემის შესრულების სქემა.</w:t>
            </w:r>
          </w:p>
        </w:tc>
      </w:tr>
      <w:tr w:rsidR="005A59D9" w:rsidRPr="000508A4" w14:paraId="2320FDE3" w14:textId="77777777" w:rsidTr="006B462B">
        <w:trPr>
          <w:gridAfter w:val="1"/>
          <w:wAfter w:w="425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C9C0A" w14:textId="77777777" w:rsidR="005A59D9" w:rsidRPr="000508A4" w:rsidRDefault="005A59D9" w:rsidP="00897B0D">
            <w:pPr>
              <w:spacing w:after="2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AF943" w14:textId="32BA0107" w:rsidR="005A59D9" w:rsidRPr="000508A4" w:rsidRDefault="00B728A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საკაბელო პროდუქცია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4537" w14:textId="023A19B7" w:rsidR="005A59D9" w:rsidRPr="000508A4" w:rsidRDefault="00B728AE" w:rsidP="00897B0D">
            <w:pPr>
              <w:snapToGrid w:val="0"/>
              <w:spacing w:after="20" w:line="264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საშუალო ძაბვის კაბელები – იზოლაცია გაკერილი პოლიეთილენისგან</w:t>
            </w:r>
            <w:r w:rsidR="000962C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;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ყველაფერი დანარჩენი</w:t>
            </w:r>
            <w:r w:rsidR="000962C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ნორმატიულ-ტექნიკური დოკუმენტაციის (</w:t>
            </w:r>
            <w:r w:rsidR="000962CE"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НТД</w:t>
            </w:r>
            <w:r w:rsidRPr="000508A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) მიხედვით.</w:t>
            </w:r>
          </w:p>
        </w:tc>
      </w:tr>
    </w:tbl>
    <w:p w14:paraId="4DC1525D" w14:textId="392B25BB" w:rsidR="00712494" w:rsidRPr="000508A4" w:rsidRDefault="00E46150" w:rsidP="00897B0D">
      <w:pPr>
        <w:pStyle w:val="ListParagraph"/>
        <w:keepNext/>
        <w:keepLines/>
        <w:numPr>
          <w:ilvl w:val="0"/>
          <w:numId w:val="1"/>
        </w:numPr>
        <w:tabs>
          <w:tab w:val="num" w:pos="1770"/>
        </w:tabs>
        <w:spacing w:before="120" w:after="60" w:line="264" w:lineRule="auto"/>
        <w:ind w:left="714" w:hanging="357"/>
        <w:contextualSpacing w:val="0"/>
        <w:outlineLvl w:val="0"/>
        <w:rPr>
          <w:rFonts w:asciiTheme="minorHAnsi" w:eastAsiaTheme="majorEastAsia" w:hAnsiTheme="minorHAnsi" w:cstheme="minorHAnsi"/>
          <w:b/>
          <w:bCs/>
          <w:caps/>
          <w:sz w:val="22"/>
          <w:szCs w:val="24"/>
          <w:lang w:val="ka-GE"/>
        </w:rPr>
      </w:pPr>
      <w:bookmarkStart w:id="1" w:name="_Hlk108120766"/>
      <w:bookmarkStart w:id="2" w:name="_Hlk108121304"/>
      <w:r w:rsidRPr="000508A4">
        <w:rPr>
          <w:rFonts w:asciiTheme="minorHAnsi" w:eastAsiaTheme="majorEastAsia" w:hAnsiTheme="minorHAnsi" w:cstheme="minorHAnsi"/>
          <w:b/>
          <w:bCs/>
          <w:caps/>
          <w:sz w:val="22"/>
          <w:szCs w:val="24"/>
          <w:lang w:val="ka-GE"/>
        </w:rPr>
        <w:t xml:space="preserve"> </w:t>
      </w:r>
      <w:r w:rsidR="00A458D5" w:rsidRPr="000508A4">
        <w:rPr>
          <w:rFonts w:asciiTheme="minorHAnsi" w:eastAsiaTheme="majorEastAsia" w:hAnsiTheme="minorHAnsi" w:cstheme="minorHAnsi"/>
          <w:b/>
          <w:bCs/>
          <w:caps/>
          <w:sz w:val="22"/>
          <w:szCs w:val="24"/>
          <w:lang w:val="ka-GE"/>
        </w:rPr>
        <w:t>საგარანტიო ვადის პირობები</w:t>
      </w:r>
    </w:p>
    <w:p w14:paraId="706B65EF" w14:textId="04AF1F1C" w:rsidR="00A458D5" w:rsidRPr="000508A4" w:rsidRDefault="00A458D5" w:rsidP="00897B0D">
      <w:pPr>
        <w:tabs>
          <w:tab w:val="left" w:pos="360"/>
        </w:tabs>
        <w:spacing w:line="264" w:lineRule="auto"/>
        <w:ind w:firstLine="567"/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0508A4">
        <w:rPr>
          <w:rFonts w:asciiTheme="minorHAnsi" w:hAnsiTheme="minorHAnsi" w:cstheme="minorHAnsi"/>
          <w:sz w:val="22"/>
          <w:szCs w:val="22"/>
          <w:lang w:val="ka-GE"/>
        </w:rPr>
        <w:t xml:space="preserve">საგარანტიო ვადაა არანაკლებ 12 თვე მიმღები გამოცდების დასრულების თარიღიდან და ექსპლუატაციის დაწყებიდან </w:t>
      </w:r>
    </w:p>
    <w:p w14:paraId="1AA20ECA" w14:textId="4E29AC63" w:rsidR="00A24396" w:rsidRPr="000508A4" w:rsidRDefault="00897B0D" w:rsidP="00897B0D">
      <w:pPr>
        <w:pStyle w:val="ListParagraph"/>
        <w:keepNext/>
        <w:keepLines/>
        <w:numPr>
          <w:ilvl w:val="0"/>
          <w:numId w:val="1"/>
        </w:numPr>
        <w:tabs>
          <w:tab w:val="num" w:pos="1770"/>
        </w:tabs>
        <w:spacing w:before="120" w:after="60" w:line="264" w:lineRule="auto"/>
        <w:ind w:left="714" w:hanging="357"/>
        <w:contextualSpacing w:val="0"/>
        <w:outlineLvl w:val="0"/>
        <w:rPr>
          <w:rFonts w:asciiTheme="minorHAnsi" w:eastAsiaTheme="majorEastAsia" w:hAnsiTheme="minorHAnsi" w:cstheme="minorHAnsi"/>
          <w:b/>
          <w:bCs/>
          <w:caps/>
          <w:sz w:val="22"/>
          <w:szCs w:val="24"/>
          <w:lang w:val="ka-GE"/>
        </w:rPr>
      </w:pPr>
      <w:r w:rsidRPr="000508A4">
        <w:rPr>
          <w:rFonts w:asciiTheme="minorHAnsi" w:eastAsiaTheme="majorEastAsia" w:hAnsiTheme="minorHAnsi" w:cstheme="minorHAnsi"/>
          <w:b/>
          <w:bCs/>
          <w:caps/>
          <w:sz w:val="22"/>
          <w:szCs w:val="24"/>
          <w:lang w:val="ka-GE"/>
        </w:rPr>
        <w:t>რეალიზაციის ვადები</w:t>
      </w:r>
    </w:p>
    <w:p w14:paraId="422D30C0" w14:textId="23EE66D4" w:rsidR="00712494" w:rsidRPr="000508A4" w:rsidRDefault="00A458D5" w:rsidP="00897B0D">
      <w:pPr>
        <w:tabs>
          <w:tab w:val="left" w:pos="360"/>
        </w:tabs>
        <w:spacing w:line="264" w:lineRule="auto"/>
        <w:ind w:firstLine="567"/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0508A4">
        <w:rPr>
          <w:rFonts w:asciiTheme="minorHAnsi" w:hAnsiTheme="minorHAnsi" w:cstheme="minorHAnsi"/>
          <w:sz w:val="22"/>
          <w:szCs w:val="22"/>
          <w:lang w:val="ka-GE"/>
        </w:rPr>
        <w:t>დამკვეთთან შეთანხმებით</w:t>
      </w:r>
      <w:r w:rsidR="000962CE" w:rsidRPr="000508A4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Pr="000508A4">
        <w:rPr>
          <w:rFonts w:asciiTheme="minorHAnsi" w:hAnsiTheme="minorHAnsi" w:cstheme="minorHAnsi"/>
          <w:sz w:val="22"/>
          <w:szCs w:val="22"/>
          <w:lang w:val="ka-GE"/>
        </w:rPr>
        <w:t>სამუშაოების შესრულების პერიოდი –</w:t>
      </w:r>
      <w:r w:rsidR="000962CE" w:rsidRPr="000508A4">
        <w:rPr>
          <w:rFonts w:asciiTheme="minorHAnsi" w:hAnsiTheme="minorHAnsi" w:cstheme="minorHAnsi"/>
          <w:sz w:val="22"/>
          <w:szCs w:val="22"/>
          <w:lang w:val="ka-GE"/>
        </w:rPr>
        <w:t xml:space="preserve"> 05.2026</w:t>
      </w:r>
      <w:r w:rsidRPr="000508A4">
        <w:rPr>
          <w:rFonts w:asciiTheme="minorHAnsi" w:hAnsiTheme="minorHAnsi" w:cstheme="minorHAnsi"/>
          <w:sz w:val="22"/>
          <w:szCs w:val="22"/>
          <w:lang w:val="ka-GE"/>
        </w:rPr>
        <w:t>-დან</w:t>
      </w:r>
      <w:r w:rsidR="000962CE" w:rsidRPr="000508A4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E657C0" w:rsidRPr="000508A4">
        <w:rPr>
          <w:rFonts w:asciiTheme="minorHAnsi" w:hAnsiTheme="minorHAnsi" w:cstheme="minorHAnsi"/>
          <w:sz w:val="22"/>
          <w:szCs w:val="22"/>
          <w:lang w:val="ka-GE"/>
        </w:rPr>
        <w:t>05</w:t>
      </w:r>
      <w:r w:rsidR="000962CE" w:rsidRPr="000508A4">
        <w:rPr>
          <w:rFonts w:asciiTheme="minorHAnsi" w:hAnsiTheme="minorHAnsi" w:cstheme="minorHAnsi"/>
          <w:sz w:val="22"/>
          <w:szCs w:val="22"/>
          <w:lang w:val="ka-GE"/>
        </w:rPr>
        <w:t>.202</w:t>
      </w:r>
      <w:r w:rsidR="00E657C0" w:rsidRPr="000508A4">
        <w:rPr>
          <w:rFonts w:asciiTheme="minorHAnsi" w:hAnsiTheme="minorHAnsi" w:cstheme="minorHAnsi"/>
          <w:sz w:val="22"/>
          <w:szCs w:val="22"/>
          <w:lang w:val="ka-GE"/>
        </w:rPr>
        <w:t>7</w:t>
      </w:r>
      <w:r w:rsidRPr="000508A4">
        <w:rPr>
          <w:rFonts w:asciiTheme="minorHAnsi" w:hAnsiTheme="minorHAnsi" w:cstheme="minorHAnsi"/>
          <w:sz w:val="22"/>
          <w:szCs w:val="22"/>
          <w:lang w:val="ka-GE"/>
        </w:rPr>
        <w:t>-მდე.</w:t>
      </w:r>
    </w:p>
    <w:p w14:paraId="1E115AD9" w14:textId="4C8625A7" w:rsidR="00E657C0" w:rsidRPr="000508A4" w:rsidRDefault="00A458D5" w:rsidP="00897B0D">
      <w:pPr>
        <w:tabs>
          <w:tab w:val="left" w:pos="360"/>
        </w:tabs>
        <w:spacing w:line="264" w:lineRule="auto"/>
        <w:ind w:firstLine="567"/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0508A4">
        <w:rPr>
          <w:rFonts w:asciiTheme="minorHAnsi" w:hAnsiTheme="minorHAnsi" w:cstheme="minorHAnsi"/>
          <w:sz w:val="22"/>
          <w:szCs w:val="22"/>
          <w:lang w:val="ka-GE"/>
        </w:rPr>
        <w:t>საპროექტო დოკუმენტაციის ნაწილის დასრულებისა და დამკვეთთან შეთანხმების შემდეგ მომსახურების მიმწოდებელმა მონაწილეობა უნდა მიიღოს დამკვეთის მიერ ძირითადი მოწყობილობების პოტენციური მიმწოდებლების მოძიებაში.</w:t>
      </w:r>
    </w:p>
    <w:p w14:paraId="0913387C" w14:textId="455F9FF0" w:rsidR="00E657C0" w:rsidRPr="000508A4" w:rsidRDefault="00A458D5" w:rsidP="00897B0D">
      <w:pPr>
        <w:tabs>
          <w:tab w:val="left" w:pos="360"/>
        </w:tabs>
        <w:spacing w:line="264" w:lineRule="auto"/>
        <w:ind w:firstLine="567"/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0508A4">
        <w:rPr>
          <w:rFonts w:asciiTheme="minorHAnsi" w:hAnsiTheme="minorHAnsi" w:cstheme="minorHAnsi"/>
          <w:sz w:val="22"/>
          <w:szCs w:val="22"/>
          <w:lang w:val="ka-GE"/>
        </w:rPr>
        <w:t>ძირითადი მოწყობილობების შერჩევის შემდეგ უნდა დაიწყოს სამუშაო და სამშენებლო დოკუმენტაციის შემუშავება.</w:t>
      </w:r>
    </w:p>
    <w:p w14:paraId="4C44E360" w14:textId="3CFE639D" w:rsidR="00A24396" w:rsidRPr="000508A4" w:rsidRDefault="00A458D5" w:rsidP="00897B0D">
      <w:pPr>
        <w:tabs>
          <w:tab w:val="left" w:pos="360"/>
        </w:tabs>
        <w:spacing w:line="264" w:lineRule="auto"/>
        <w:ind w:firstLine="567"/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0508A4">
        <w:rPr>
          <w:rFonts w:asciiTheme="minorHAnsi" w:hAnsiTheme="minorHAnsi" w:cstheme="minorHAnsi"/>
          <w:sz w:val="22"/>
          <w:szCs w:val="22"/>
          <w:lang w:val="ka-GE"/>
        </w:rPr>
        <w:t xml:space="preserve">დამატებით დამკვეთი უფლებას იტოვებს, მისამე პირები მოიზიდოს სამართალდამცავს რესპუბლიკის კანონმდებლობის თავისებურებებთან პროექტის ადაპტაციისთვის. პროექტირების მომსახურების მიმწოდებელი კისრულობს ვალდებულებას, რომ მოცემულ პერიოდში მესამე პირებთან ერთად </w:t>
      </w:r>
      <w:r w:rsidR="00897B0D" w:rsidRPr="000508A4">
        <w:rPr>
          <w:rFonts w:asciiTheme="minorHAnsi" w:hAnsiTheme="minorHAnsi" w:cstheme="minorHAnsi"/>
          <w:sz w:val="22"/>
          <w:szCs w:val="22"/>
          <w:lang w:val="ka-GE"/>
        </w:rPr>
        <w:t xml:space="preserve">იმუშავებს </w:t>
      </w:r>
      <w:r w:rsidRPr="000508A4">
        <w:rPr>
          <w:rFonts w:asciiTheme="minorHAnsi" w:hAnsiTheme="minorHAnsi" w:cstheme="minorHAnsi"/>
          <w:sz w:val="22"/>
          <w:szCs w:val="22"/>
          <w:lang w:val="ka-GE"/>
        </w:rPr>
        <w:t>საპროექტო გადაწყვეტილებების ადაპტაციაზე</w:t>
      </w:r>
      <w:r w:rsidR="00897B0D" w:rsidRPr="000508A4">
        <w:rPr>
          <w:rFonts w:asciiTheme="minorHAnsi" w:hAnsiTheme="minorHAnsi" w:cstheme="minorHAnsi"/>
          <w:sz w:val="22"/>
          <w:szCs w:val="22"/>
          <w:lang w:val="ka-GE"/>
        </w:rPr>
        <w:t>.</w:t>
      </w:r>
    </w:p>
    <w:p w14:paraId="7731F09E" w14:textId="03D2383F" w:rsidR="00712494" w:rsidRPr="000508A4" w:rsidRDefault="00897B0D" w:rsidP="00897B0D">
      <w:pPr>
        <w:pStyle w:val="ListParagraph"/>
        <w:keepNext/>
        <w:keepLines/>
        <w:numPr>
          <w:ilvl w:val="0"/>
          <w:numId w:val="1"/>
        </w:numPr>
        <w:tabs>
          <w:tab w:val="num" w:pos="1770"/>
        </w:tabs>
        <w:spacing w:before="120" w:after="60" w:line="264" w:lineRule="auto"/>
        <w:ind w:left="714" w:hanging="357"/>
        <w:contextualSpacing w:val="0"/>
        <w:outlineLvl w:val="0"/>
        <w:rPr>
          <w:rFonts w:asciiTheme="minorHAnsi" w:eastAsiaTheme="majorEastAsia" w:hAnsiTheme="minorHAnsi" w:cstheme="minorHAnsi"/>
          <w:b/>
          <w:bCs/>
          <w:caps/>
          <w:sz w:val="22"/>
          <w:szCs w:val="24"/>
          <w:lang w:val="ka-GE"/>
        </w:rPr>
      </w:pPr>
      <w:r w:rsidRPr="000508A4">
        <w:rPr>
          <w:rFonts w:asciiTheme="minorHAnsi" w:eastAsiaTheme="majorEastAsia" w:hAnsiTheme="minorHAnsi" w:cstheme="minorHAnsi"/>
          <w:b/>
          <w:bCs/>
          <w:caps/>
          <w:sz w:val="22"/>
          <w:szCs w:val="24"/>
          <w:lang w:val="ka-GE"/>
        </w:rPr>
        <w:t>ქვემენარდეების მოზიდვა</w:t>
      </w:r>
    </w:p>
    <w:p w14:paraId="51E8DAC1" w14:textId="349C3E0A" w:rsidR="00712494" w:rsidRPr="000508A4" w:rsidRDefault="00897B0D" w:rsidP="00897B0D">
      <w:pPr>
        <w:tabs>
          <w:tab w:val="left" w:pos="360"/>
        </w:tabs>
        <w:spacing w:line="264" w:lineRule="auto"/>
        <w:ind w:firstLine="567"/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0508A4">
        <w:rPr>
          <w:rFonts w:asciiTheme="minorHAnsi" w:hAnsiTheme="minorHAnsi" w:cstheme="minorHAnsi"/>
          <w:sz w:val="22"/>
          <w:szCs w:val="22"/>
          <w:lang w:val="ka-GE"/>
        </w:rPr>
        <w:t>დამკვეთთან შეთანხმებით.</w:t>
      </w:r>
    </w:p>
    <w:p w14:paraId="0ABA64D1" w14:textId="38CDF066" w:rsidR="00712494" w:rsidRPr="000508A4" w:rsidRDefault="004D286D" w:rsidP="00897B0D">
      <w:pPr>
        <w:pStyle w:val="ListParagraph"/>
        <w:keepNext/>
        <w:keepLines/>
        <w:numPr>
          <w:ilvl w:val="0"/>
          <w:numId w:val="1"/>
        </w:numPr>
        <w:tabs>
          <w:tab w:val="num" w:pos="1770"/>
        </w:tabs>
        <w:spacing w:before="120" w:after="60" w:line="264" w:lineRule="auto"/>
        <w:ind w:left="714" w:hanging="357"/>
        <w:contextualSpacing w:val="0"/>
        <w:outlineLvl w:val="0"/>
        <w:rPr>
          <w:rFonts w:asciiTheme="minorHAnsi" w:eastAsiaTheme="majorEastAsia" w:hAnsiTheme="minorHAnsi" w:cstheme="minorHAnsi"/>
          <w:b/>
          <w:bCs/>
          <w:caps/>
          <w:sz w:val="22"/>
          <w:szCs w:val="24"/>
          <w:lang w:val="ka-GE"/>
        </w:rPr>
      </w:pPr>
      <w:r w:rsidRPr="000508A4">
        <w:rPr>
          <w:rFonts w:asciiTheme="minorHAnsi" w:eastAsiaTheme="majorEastAsia" w:hAnsiTheme="minorHAnsi" w:cstheme="minorHAnsi"/>
          <w:b/>
          <w:bCs/>
          <w:caps/>
          <w:sz w:val="22"/>
          <w:szCs w:val="24"/>
          <w:lang w:val="ka-GE"/>
        </w:rPr>
        <w:t xml:space="preserve"> </w:t>
      </w:r>
      <w:r w:rsidR="00897B0D" w:rsidRPr="000508A4">
        <w:rPr>
          <w:rFonts w:asciiTheme="minorHAnsi" w:eastAsiaTheme="majorEastAsia" w:hAnsiTheme="minorHAnsi" w:cstheme="minorHAnsi"/>
          <w:b/>
          <w:bCs/>
          <w:caps/>
          <w:sz w:val="22"/>
          <w:szCs w:val="24"/>
          <w:lang w:val="ka-GE"/>
        </w:rPr>
        <w:t>გადახდის პირობები</w:t>
      </w:r>
    </w:p>
    <w:p w14:paraId="363A0645" w14:textId="35D3DD73" w:rsidR="00417FAA" w:rsidRPr="000508A4" w:rsidRDefault="00897B0D" w:rsidP="00897B0D">
      <w:pPr>
        <w:tabs>
          <w:tab w:val="left" w:pos="360"/>
        </w:tabs>
        <w:spacing w:line="264" w:lineRule="auto"/>
        <w:ind w:firstLine="567"/>
        <w:jc w:val="both"/>
        <w:rPr>
          <w:rFonts w:asciiTheme="minorHAnsi" w:eastAsiaTheme="majorEastAsia" w:hAnsiTheme="minorHAnsi" w:cstheme="minorHAnsi"/>
          <w:b/>
          <w:bCs/>
          <w:caps/>
          <w:sz w:val="22"/>
          <w:szCs w:val="24"/>
          <w:lang w:val="ka-GE"/>
        </w:rPr>
      </w:pPr>
      <w:r w:rsidRPr="000508A4">
        <w:rPr>
          <w:rFonts w:asciiTheme="minorHAnsi" w:hAnsiTheme="minorHAnsi" w:cstheme="minorHAnsi"/>
          <w:sz w:val="22"/>
          <w:szCs w:val="22"/>
          <w:lang w:val="ka-GE"/>
        </w:rPr>
        <w:t>აუცილებელია შეთანხმება სს „RMG Copper“-ის, შესყიდვების განყოფილებასთან და საწარმოო პროექტების დეპარტამენტთან.</w:t>
      </w:r>
    </w:p>
    <w:p w14:paraId="7C98EF4A" w14:textId="77777777" w:rsidR="00417FAA" w:rsidRPr="000508A4" w:rsidRDefault="00417FAA" w:rsidP="00D273B1">
      <w:pPr>
        <w:pStyle w:val="ListParagraph"/>
        <w:keepNext/>
        <w:keepLines/>
        <w:numPr>
          <w:ilvl w:val="0"/>
          <w:numId w:val="1"/>
        </w:numPr>
        <w:tabs>
          <w:tab w:val="num" w:pos="1770"/>
        </w:tabs>
        <w:spacing w:before="240" w:after="120" w:line="276" w:lineRule="auto"/>
        <w:outlineLvl w:val="0"/>
        <w:rPr>
          <w:rFonts w:asciiTheme="minorHAnsi" w:eastAsiaTheme="majorEastAsia" w:hAnsiTheme="minorHAnsi" w:cstheme="minorHAnsi"/>
          <w:b/>
          <w:bCs/>
          <w:caps/>
          <w:sz w:val="22"/>
          <w:szCs w:val="24"/>
          <w:lang w:val="ka-GE"/>
        </w:rPr>
        <w:sectPr w:rsidR="00417FAA" w:rsidRPr="000508A4" w:rsidSect="006B462B">
          <w:footerReference w:type="default" r:id="rId8"/>
          <w:pgSz w:w="11906" w:h="16838" w:code="9"/>
          <w:pgMar w:top="1134" w:right="1134" w:bottom="1134" w:left="1134" w:header="340" w:footer="244" w:gutter="0"/>
          <w:cols w:space="708"/>
          <w:docGrid w:linePitch="360"/>
        </w:sectPr>
      </w:pPr>
    </w:p>
    <w:p w14:paraId="3C8D2637" w14:textId="6D570059" w:rsidR="00C20851" w:rsidRPr="000508A4" w:rsidRDefault="00897B0D" w:rsidP="00D273B1">
      <w:pPr>
        <w:pStyle w:val="ListParagraph"/>
        <w:keepNext/>
        <w:keepLines/>
        <w:numPr>
          <w:ilvl w:val="0"/>
          <w:numId w:val="1"/>
        </w:numPr>
        <w:tabs>
          <w:tab w:val="num" w:pos="1770"/>
        </w:tabs>
        <w:spacing w:before="240" w:after="120" w:line="276" w:lineRule="auto"/>
        <w:outlineLvl w:val="0"/>
        <w:rPr>
          <w:rFonts w:asciiTheme="minorHAnsi" w:eastAsiaTheme="majorEastAsia" w:hAnsiTheme="minorHAnsi" w:cstheme="minorHAnsi"/>
          <w:b/>
          <w:bCs/>
          <w:caps/>
          <w:sz w:val="24"/>
          <w:szCs w:val="28"/>
          <w:lang w:val="ka-GE"/>
        </w:rPr>
      </w:pPr>
      <w:r w:rsidRPr="000508A4">
        <w:rPr>
          <w:rFonts w:asciiTheme="minorHAnsi" w:eastAsiaTheme="majorEastAsia" w:hAnsiTheme="minorHAnsi" w:cstheme="minorHAnsi"/>
          <w:b/>
          <w:bCs/>
          <w:caps/>
          <w:sz w:val="24"/>
          <w:szCs w:val="28"/>
          <w:lang w:val="ka-GE"/>
        </w:rPr>
        <w:lastRenderedPageBreak/>
        <w:t>დანართები</w:t>
      </w:r>
    </w:p>
    <w:p w14:paraId="576F18DB" w14:textId="77777777" w:rsidR="00897B0D" w:rsidRPr="000508A4" w:rsidRDefault="00897B0D" w:rsidP="00897B0D">
      <w:pPr>
        <w:spacing w:line="276" w:lineRule="auto"/>
        <w:jc w:val="center"/>
        <w:rPr>
          <w:rFonts w:asciiTheme="minorHAnsi" w:hAnsiTheme="minorHAnsi" w:cstheme="minorHAnsi"/>
          <w:b/>
          <w:sz w:val="24"/>
          <w:lang w:val="ka-GE"/>
        </w:rPr>
      </w:pPr>
      <w:r w:rsidRPr="000508A4">
        <w:rPr>
          <w:rFonts w:asciiTheme="minorHAnsi" w:hAnsiTheme="minorHAnsi" w:cstheme="minorHAnsi"/>
          <w:b/>
          <w:sz w:val="24"/>
          <w:lang w:val="ka-GE"/>
        </w:rPr>
        <w:t xml:space="preserve">„მადნეულის ნარჩენების საცავში დიდი ხნის განმავლობაში დაგროვებული ნარჩენების დამუშავების“ პროექტის </w:t>
      </w:r>
    </w:p>
    <w:p w14:paraId="3C0E9C99" w14:textId="749A1D9D" w:rsidR="00897B0D" w:rsidRPr="000508A4" w:rsidRDefault="00897B0D" w:rsidP="00897B0D">
      <w:pPr>
        <w:spacing w:line="276" w:lineRule="auto"/>
        <w:jc w:val="center"/>
        <w:rPr>
          <w:rFonts w:asciiTheme="minorHAnsi" w:hAnsiTheme="minorHAnsi" w:cstheme="minorHAnsi"/>
          <w:b/>
          <w:sz w:val="24"/>
          <w:lang w:val="ka-GE"/>
        </w:rPr>
      </w:pPr>
      <w:r w:rsidRPr="000508A4">
        <w:rPr>
          <w:rFonts w:asciiTheme="minorHAnsi" w:hAnsiTheme="minorHAnsi" w:cstheme="minorHAnsi"/>
          <w:b/>
          <w:sz w:val="24"/>
          <w:lang w:val="ka-GE"/>
        </w:rPr>
        <w:t>ელექტრული დატვირთვების უწყისი</w:t>
      </w:r>
    </w:p>
    <w:p w14:paraId="462F8675" w14:textId="77777777" w:rsidR="008E5F15" w:rsidRPr="000508A4" w:rsidRDefault="008E5F15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tbl>
      <w:tblPr>
        <w:tblW w:w="12960" w:type="dxa"/>
        <w:jc w:val="center"/>
        <w:tblLook w:val="04A0" w:firstRow="1" w:lastRow="0" w:firstColumn="1" w:lastColumn="0" w:noHBand="0" w:noVBand="1"/>
      </w:tblPr>
      <w:tblGrid>
        <w:gridCol w:w="5639"/>
        <w:gridCol w:w="1020"/>
        <w:gridCol w:w="1129"/>
        <w:gridCol w:w="984"/>
        <w:gridCol w:w="984"/>
        <w:gridCol w:w="984"/>
        <w:gridCol w:w="2220"/>
      </w:tblGrid>
      <w:tr w:rsidR="00965BEA" w:rsidRPr="000508A4" w14:paraId="01D56F74" w14:textId="77777777" w:rsidTr="00897B0D">
        <w:trPr>
          <w:trHeight w:val="300"/>
          <w:tblHeader/>
          <w:jc w:val="center"/>
        </w:trPr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A77319" w14:textId="710E1EAA" w:rsidR="00965BEA" w:rsidRPr="000508A4" w:rsidRDefault="00897B0D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F76D54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cosφ</w:t>
            </w:r>
          </w:p>
        </w:tc>
        <w:tc>
          <w:tcPr>
            <w:tcW w:w="4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2A3B41" w14:textId="719E19A7" w:rsidR="00965BEA" w:rsidRPr="000508A4" w:rsidRDefault="00897B0D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გაანგარიშებული სიმძლავრე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3023AC" w14:textId="7D994888" w:rsidR="00965BEA" w:rsidRPr="000508A4" w:rsidRDefault="00897B0D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ელექტროენერგიის წლიური ხარჯი</w:t>
            </w:r>
          </w:p>
        </w:tc>
      </w:tr>
      <w:tr w:rsidR="00965BEA" w:rsidRPr="000508A4" w14:paraId="114F4EC8" w14:textId="77777777" w:rsidTr="00897B0D">
        <w:trPr>
          <w:trHeight w:val="292"/>
          <w:tblHeader/>
          <w:jc w:val="center"/>
        </w:trPr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217341" w14:textId="77777777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ka-GE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4F74B5" w14:textId="77777777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ka-G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3D2A7A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Pу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938BA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Pp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61268F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Qp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113230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Sр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BF2732" w14:textId="77777777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ka-GE"/>
              </w:rPr>
            </w:pPr>
          </w:p>
        </w:tc>
      </w:tr>
      <w:tr w:rsidR="00965BEA" w:rsidRPr="000508A4" w14:paraId="3D0056F8" w14:textId="77777777" w:rsidTr="00897B0D">
        <w:trPr>
          <w:trHeight w:val="292"/>
          <w:tblHeader/>
          <w:jc w:val="center"/>
        </w:trPr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8E092D" w14:textId="77777777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ka-G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02D7D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20354A" w14:textId="0ACDD3F5" w:rsidR="00965BEA" w:rsidRPr="000508A4" w:rsidRDefault="00897B0D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კვტ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A94953" w14:textId="62E8F8CA" w:rsidR="00965BEA" w:rsidRPr="000508A4" w:rsidRDefault="00897B0D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კვტ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6ECF23" w14:textId="66A352C7" w:rsidR="00965BEA" w:rsidRPr="000508A4" w:rsidRDefault="00897B0D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კვარ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0D77B0" w14:textId="324E3DF4" w:rsidR="00965BEA" w:rsidRPr="000508A4" w:rsidRDefault="00897B0D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კვა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B56C16" w14:textId="602F360F" w:rsidR="00965BEA" w:rsidRPr="000508A4" w:rsidRDefault="00897B0D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მვტ</w:t>
            </w:r>
            <w:r w:rsidR="00965BEA" w:rsidRPr="000508A4">
              <w:rPr>
                <w:rFonts w:asciiTheme="minorHAnsi" w:hAnsiTheme="minorHAnsi" w:cstheme="minorHAnsi"/>
                <w:b/>
                <w:bCs/>
                <w:lang w:val="ka-GE"/>
              </w:rPr>
              <w:t>*</w:t>
            </w: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სთ</w:t>
            </w:r>
          </w:p>
        </w:tc>
      </w:tr>
      <w:tr w:rsidR="00965BEA" w:rsidRPr="000508A4" w14:paraId="0D894497" w14:textId="77777777" w:rsidTr="00897B0D">
        <w:trPr>
          <w:trHeight w:val="292"/>
          <w:tblHeader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1152CCD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64A3F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F31F5D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06E41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690DC3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41CFBA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CADCE5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7</w:t>
            </w:r>
          </w:p>
        </w:tc>
      </w:tr>
      <w:tr w:rsidR="00965BEA" w:rsidRPr="000508A4" w14:paraId="6AAEE78C" w14:textId="77777777" w:rsidTr="00965BEA">
        <w:trPr>
          <w:trHeight w:val="292"/>
          <w:jc w:val="center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66191105" w14:textId="0516FE60" w:rsidR="00965BEA" w:rsidRPr="000508A4" w:rsidRDefault="00897B0D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ექსპლუატაციის 1-დან 3 წლის ჩათვლით პერიოდში დაგროვებული ნარჩენების ამოღება </w:t>
            </w:r>
          </w:p>
        </w:tc>
      </w:tr>
      <w:tr w:rsidR="00965BEA" w:rsidRPr="000508A4" w14:paraId="2D498554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F5D3EE" w14:textId="0AE02A00" w:rsidR="00965BEA" w:rsidRPr="000508A4" w:rsidRDefault="008D6C1E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შესქელების კვანძი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24C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E5E5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1581,00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68D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1347,57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FA7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448,17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7275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1420,15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DA6D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9974,37</w:t>
            </w:r>
          </w:p>
        </w:tc>
      </w:tr>
      <w:tr w:rsidR="00965BEA" w:rsidRPr="000508A4" w14:paraId="6E5BCE92" w14:textId="77777777" w:rsidTr="00965BEA">
        <w:trPr>
          <w:trHeight w:val="566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8CB98F" w14:textId="1DEB777B" w:rsidR="00965BEA" w:rsidRPr="000508A4" w:rsidRDefault="008D6C1E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დაგროვებული ნარჩენების ამოღება</w:t>
            </w:r>
            <w:r w:rsidR="00965BEA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(</w:t>
            </w: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ამოღების 1-ელი საფეხური)</w:t>
            </w:r>
            <w:r w:rsidR="00965BEA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– 3 სამუშაო / 1 სარეზერვო</w:t>
            </w:r>
            <w:r w:rsidR="00965BEA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მიწახაპია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9F2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87D9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1648,35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4507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1445,29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1C6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546,23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3C75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1545,07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8AD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10140,20</w:t>
            </w:r>
          </w:p>
        </w:tc>
      </w:tr>
      <w:tr w:rsidR="00965BEA" w:rsidRPr="000508A4" w14:paraId="7CE9FE8F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109C31" w14:textId="2F5CE4C7" w:rsidR="00965BEA" w:rsidRPr="000508A4" w:rsidRDefault="001F4E16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საავტომობილო გზის გარე განათება</w:t>
            </w:r>
            <w:r w:rsidR="00965BEA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(</w:t>
            </w: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სიგრძე –</w:t>
            </w:r>
            <w:r w:rsidR="00965BEA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3,2</w:t>
            </w: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კმ</w:t>
            </w:r>
            <w:r w:rsidR="00965BEA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E60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9FC4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FA65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C684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76EA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DB5A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146,26</w:t>
            </w:r>
          </w:p>
        </w:tc>
      </w:tr>
      <w:tr w:rsidR="00965BEA" w:rsidRPr="000508A4" w14:paraId="49C8F523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7D79F53" w14:textId="5D24AFB3" w:rsidR="00965BEA" w:rsidRPr="000508A4" w:rsidRDefault="008D6C1E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07F1D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D6ACC3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3245,55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E89E3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2809,56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EC832A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999,41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70907D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  <w:t>2982,02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3E80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20260,83</w:t>
            </w:r>
          </w:p>
        </w:tc>
      </w:tr>
      <w:tr w:rsidR="00965BEA" w:rsidRPr="000508A4" w14:paraId="37024D5A" w14:textId="77777777" w:rsidTr="00965BEA">
        <w:trPr>
          <w:trHeight w:val="292"/>
          <w:jc w:val="center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D711A14" w14:textId="13B83793" w:rsidR="00965BEA" w:rsidRPr="000508A4" w:rsidRDefault="008D6C1E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ექსპლუატაციის 3-დან 7 წლის ჩათვლით პერიოდში დაგროვებული ნარჩენების ამოღება </w:t>
            </w:r>
          </w:p>
        </w:tc>
      </w:tr>
      <w:tr w:rsidR="001F4E16" w:rsidRPr="000508A4" w14:paraId="7A86F93E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5E5899" w14:textId="46530DBE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შესქელების კვანძი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DCCB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3149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1581,00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99AF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1347,57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9216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448,17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2B8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1420,15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C6AF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9974,37</w:t>
            </w:r>
          </w:p>
        </w:tc>
      </w:tr>
      <w:tr w:rsidR="001F4E16" w:rsidRPr="000508A4" w14:paraId="58D15BFC" w14:textId="77777777" w:rsidTr="00965BEA">
        <w:trPr>
          <w:trHeight w:val="583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14BF47" w14:textId="1BA2DD84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დაგროვებული ნარჩენების ამოღება (ამოღების 1-ელი საფეხური) – 3 სამუშაო / 1 სარეზერვო მიწახაპია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AD517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CC7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1648,35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D2E8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1445,29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EF9E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546,23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201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1545,07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0D49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10140,20</w:t>
            </w:r>
          </w:p>
        </w:tc>
      </w:tr>
      <w:tr w:rsidR="00965BEA" w:rsidRPr="000508A4" w14:paraId="7245C536" w14:textId="77777777" w:rsidTr="00965BEA">
        <w:trPr>
          <w:trHeight w:val="583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C2A60E" w14:textId="77F328E6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ПНС-1(1) 875,0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4A11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4611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D67D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4AD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9E67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D65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1F4E16" w:rsidRPr="000508A4" w14:paraId="6DCD7A88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ABAC7D" w14:textId="34702D1D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საავტომობილო გზის გარე განათება (სიგრძე – 3,2 კმ)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2BA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6879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D181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431D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961E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A3A3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146,26</w:t>
            </w:r>
          </w:p>
        </w:tc>
      </w:tr>
      <w:tr w:rsidR="00965BEA" w:rsidRPr="000508A4" w14:paraId="2D5E3D91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EE2A256" w14:textId="2145FC71" w:rsidR="00965BEA" w:rsidRPr="000508A4" w:rsidRDefault="008D6C1E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7AA744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FB672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4145,55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6E59E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3541,06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93ACB4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1239,84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5521BF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  <w:t>3751,84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C8A9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25656,99</w:t>
            </w:r>
          </w:p>
        </w:tc>
      </w:tr>
      <w:tr w:rsidR="00965BEA" w:rsidRPr="000508A4" w14:paraId="4C5C28E3" w14:textId="77777777" w:rsidTr="00965BEA">
        <w:trPr>
          <w:trHeight w:val="292"/>
          <w:jc w:val="center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136CB4AE" w14:textId="738A158D" w:rsidR="00965BEA" w:rsidRPr="000508A4" w:rsidRDefault="008D6C1E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ექსპლუატაციის 7-დან 12 წლის ჩათვლით პერიოდში დაგროვებული ნარჩენების ამოღება </w:t>
            </w:r>
          </w:p>
        </w:tc>
      </w:tr>
      <w:tr w:rsidR="001F4E16" w:rsidRPr="000508A4" w14:paraId="19CCE22B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9976B8" w14:textId="1563C0D8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შესქელების კვანძი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3AF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0C2B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1581,00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C788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1347,57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7444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448,17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0F98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1420,15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3194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9974,37</w:t>
            </w:r>
          </w:p>
        </w:tc>
      </w:tr>
      <w:tr w:rsidR="001F4E16" w:rsidRPr="000508A4" w14:paraId="6A7192AE" w14:textId="77777777" w:rsidTr="00965BEA">
        <w:trPr>
          <w:trHeight w:val="566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0D5892" w14:textId="3BE6CE89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დაგროვებული ნარჩენების ამოღება (ამოღების 1-ელი საფეხური) – 3 სამუშაო / 1 სარეზერვო მიწახაპია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C7C8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2F54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1648,35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841B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1445,29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CA7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546,23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013C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1545,07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0667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10140,20</w:t>
            </w:r>
          </w:p>
        </w:tc>
      </w:tr>
      <w:tr w:rsidR="00965BEA" w:rsidRPr="000508A4" w14:paraId="64C8FEEF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150151" w14:textId="5A9FDA86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ПНС-2 855,0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4DA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CA1A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22A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7CD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0639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8DA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1F4E16" w:rsidRPr="000508A4" w14:paraId="28C1F802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E915E8" w14:textId="1FF38B20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საავტომობილო გზის გარე განათება (სიგრძე – 3,2 კმ)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1B28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9803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73B2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4DE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7EE4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B5B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146,26</w:t>
            </w:r>
          </w:p>
        </w:tc>
      </w:tr>
      <w:tr w:rsidR="00965BEA" w:rsidRPr="000508A4" w14:paraId="7E632D0E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4541AC0" w14:textId="0580603D" w:rsidR="00965BEA" w:rsidRPr="000508A4" w:rsidRDefault="008D6C1E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93102B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001FC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4145,55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B8FB82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3541,06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597B3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1239,84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E96FF7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  <w:t>3751,84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92A9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25656,99</w:t>
            </w:r>
          </w:p>
        </w:tc>
      </w:tr>
      <w:tr w:rsidR="00965BEA" w:rsidRPr="000508A4" w14:paraId="31FFEE0C" w14:textId="77777777" w:rsidTr="00965BEA">
        <w:trPr>
          <w:trHeight w:val="292"/>
          <w:jc w:val="center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DC46267" w14:textId="25AD6419" w:rsidR="00965BEA" w:rsidRPr="000508A4" w:rsidRDefault="008D6C1E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ექსპლუატაციის 12-დან 16 წლის ჩათვლით პერიოდში დაგროვებული ნარჩენების ამოღება </w:t>
            </w:r>
          </w:p>
        </w:tc>
      </w:tr>
      <w:tr w:rsidR="001F4E16" w:rsidRPr="000508A4" w14:paraId="7F37F405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5C1A07" w14:textId="3BB1905B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შესქელების კვანძი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45F3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5916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1581,00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AB7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1347,57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73B6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448,17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CFCD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1420,15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DEA3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9974,37</w:t>
            </w:r>
          </w:p>
        </w:tc>
      </w:tr>
      <w:tr w:rsidR="001F4E16" w:rsidRPr="000508A4" w14:paraId="10ECE596" w14:textId="77777777" w:rsidTr="00965BEA">
        <w:trPr>
          <w:trHeight w:val="566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9957BC" w14:textId="38859713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lastRenderedPageBreak/>
              <w:t>დაგროვებული ნარჩენების ამოღება (ამოღების 1-ელი საფეხური) – 3 სამუშაო / 1 სარეზერვო მიწახაპია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7AC6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CF9A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1648,35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2056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1445,29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5178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546,23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3459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1545,07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064F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10140,20</w:t>
            </w:r>
          </w:p>
        </w:tc>
      </w:tr>
      <w:tr w:rsidR="00965BEA" w:rsidRPr="000508A4" w14:paraId="3D43CD1E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3059A5" w14:textId="36D37D72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ПНС-1(2) 835,0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0AF3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D76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77EB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4DD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C27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5AD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03BAF624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20C2E6" w14:textId="43AA7DF5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ПНС-2 855,0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EAF1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DCEB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F425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01F1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2D81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751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1F4E16" w:rsidRPr="000508A4" w14:paraId="03C8CB8F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816852" w14:textId="4A124994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საავტომობილო გზის გარე განათება (სიგრძე – 3,2 კმ)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CFD5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E125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F5D8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6285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5651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3EA4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146,26</w:t>
            </w:r>
          </w:p>
        </w:tc>
      </w:tr>
      <w:tr w:rsidR="00965BEA" w:rsidRPr="000508A4" w14:paraId="2D806A0E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935E658" w14:textId="07227DFE" w:rsidR="00965BEA" w:rsidRPr="000508A4" w:rsidRDefault="008D6C1E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D29D0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FE8D2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5045,55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F385BF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4272,56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5ED8D7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1480,27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B16BA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  <w:t>4521,73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7C8ED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31053,15</w:t>
            </w:r>
          </w:p>
        </w:tc>
      </w:tr>
      <w:tr w:rsidR="00965BEA" w:rsidRPr="000508A4" w14:paraId="44326A32" w14:textId="77777777" w:rsidTr="00965BEA">
        <w:trPr>
          <w:trHeight w:val="292"/>
          <w:jc w:val="center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2716B69" w14:textId="7701077A" w:rsidR="00965BEA" w:rsidRPr="000508A4" w:rsidRDefault="008D6C1E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ექსპლუატაციის 16-დან 20 წლის ჩათვლით პერიოდში დაგროვებული ნარჩენების ამოღება </w:t>
            </w:r>
          </w:p>
        </w:tc>
      </w:tr>
      <w:tr w:rsidR="001F4E16" w:rsidRPr="000508A4" w14:paraId="63220439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20CBD7" w14:textId="3CEBF496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შესქელების კვანძი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E27A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4752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1581,00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0F4D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1347,57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AFD9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448,17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FE7C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1420,15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AF0B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9974,37</w:t>
            </w:r>
          </w:p>
        </w:tc>
      </w:tr>
      <w:tr w:rsidR="001F4E16" w:rsidRPr="000508A4" w14:paraId="6E00226E" w14:textId="77777777" w:rsidTr="00965BEA">
        <w:trPr>
          <w:trHeight w:val="566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08E6A2" w14:textId="5F159811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დაგროვებული ნარჩენების ამოღება (ამოღების 1-ელი საფეხური) – 3 სამუშაო / 1 სარეზერვო მიწახაპია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AC39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B23D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1648,35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BC75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1445,29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965E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546,23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6107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1545,07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0AF6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10140,20</w:t>
            </w:r>
          </w:p>
        </w:tc>
      </w:tr>
      <w:tr w:rsidR="00965BEA" w:rsidRPr="000508A4" w14:paraId="3FC528B3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35D677" w14:textId="4FC052B6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ПНС-2 855,0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5A7D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3D4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E51F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BAAA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F4E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55E0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4BFCB248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B728F5" w14:textId="1BCB4E1F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ПНС-3 815,0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EEE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3091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E3B3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0647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776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B1AA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1F4E16" w:rsidRPr="000508A4" w14:paraId="314494CE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5040BC" w14:textId="6DDBC42F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საავტომობილო გზის გარე განათება (სიგრძე – 3,2 კმ)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3832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D671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85B1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AC91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2BA4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FAE3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146,26</w:t>
            </w:r>
          </w:p>
        </w:tc>
      </w:tr>
      <w:tr w:rsidR="00965BEA" w:rsidRPr="000508A4" w14:paraId="1D366F92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F0D8179" w14:textId="0ACF4C56" w:rsidR="00965BEA" w:rsidRPr="000508A4" w:rsidRDefault="008D6C1E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2CC23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4A2B6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5045,55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2DFF4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4272,56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D68A8D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1480,27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8E2741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  <w:t>4521,73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4AEE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31053,15</w:t>
            </w:r>
          </w:p>
        </w:tc>
      </w:tr>
      <w:tr w:rsidR="00965BEA" w:rsidRPr="000508A4" w14:paraId="097DE2F3" w14:textId="77777777" w:rsidTr="00965BEA">
        <w:trPr>
          <w:trHeight w:val="292"/>
          <w:jc w:val="center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C62E87D" w14:textId="632E2486" w:rsidR="00965BEA" w:rsidRPr="000508A4" w:rsidRDefault="008D6C1E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ექსპლუატაციის 20-დან 23 წლის ჩათვლით პერიოდში დაგროვებული ნარჩენების ამოღება </w:t>
            </w:r>
          </w:p>
        </w:tc>
      </w:tr>
      <w:tr w:rsidR="001F4E16" w:rsidRPr="000508A4" w14:paraId="7FB5224E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782818" w14:textId="56F2EFAC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შესქელების კვანძი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F3D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5D43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1581,00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9FFE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1347,57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A625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448,17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AF3C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1420,15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69D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9974,37</w:t>
            </w:r>
          </w:p>
        </w:tc>
      </w:tr>
      <w:tr w:rsidR="001F4E16" w:rsidRPr="000508A4" w14:paraId="0FF1C362" w14:textId="77777777" w:rsidTr="00965BEA">
        <w:trPr>
          <w:trHeight w:val="566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F2110E" w14:textId="7FE2115D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დაგროვებული ნარჩენების ამოღება (ამოღების 1-ელი საფეხური) – 3 სამუშაო / 1 სარეზერვო მიწახაპია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36B3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7174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1648,35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55DF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1445,29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009D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546,23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4E24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1545,07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B1BF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10140,20</w:t>
            </w:r>
          </w:p>
        </w:tc>
      </w:tr>
      <w:tr w:rsidR="00965BEA" w:rsidRPr="000508A4" w14:paraId="3B3D70D5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E135A8" w14:textId="58339084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ПНС-1(3) 795,0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4A9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830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820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394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7657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A785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7687DC96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1E7B36" w14:textId="2A826045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ПНС-2 855,0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ACA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051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55EB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D6EF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825D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0739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4E9830C6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266040" w14:textId="120D9731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ПНС-3 815,0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5789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E5E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C587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BA7D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1D3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6540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1F4E16" w:rsidRPr="000508A4" w14:paraId="05E6DD78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9404AE" w14:textId="57C867F4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საავტომობილო გზის გარე განათება (სიგრძე – 3,2 კმ)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5E81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45CA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48CD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A209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0AA3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E11C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146,26</w:t>
            </w:r>
          </w:p>
        </w:tc>
      </w:tr>
      <w:tr w:rsidR="00965BEA" w:rsidRPr="000508A4" w14:paraId="1E869D7D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4CB0676" w14:textId="41F576CF" w:rsidR="00965BEA" w:rsidRPr="000508A4" w:rsidRDefault="008D6C1E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C38361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40804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5945,55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44AF5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5004,06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C7A1C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1720,70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A56D99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  <w:t>5291,64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6A4FDD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36449,31</w:t>
            </w:r>
          </w:p>
        </w:tc>
      </w:tr>
      <w:tr w:rsidR="00965BEA" w:rsidRPr="000508A4" w14:paraId="20B840E6" w14:textId="77777777" w:rsidTr="00965BEA">
        <w:trPr>
          <w:trHeight w:val="292"/>
          <w:jc w:val="center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2D5493D6" w14:textId="3395DC7D" w:rsidR="00965BEA" w:rsidRPr="000508A4" w:rsidRDefault="008D6C1E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ექსპლუატაციის 23-დან 25 წლის ჩათვლით პერიოდში დაგროვებული ნარჩენების ამოღება </w:t>
            </w:r>
          </w:p>
        </w:tc>
      </w:tr>
      <w:tr w:rsidR="001F4E16" w:rsidRPr="000508A4" w14:paraId="44604DF0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9E8E52" w14:textId="439FAE88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შესქელების კვანძი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C6AA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50A7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1581,00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32242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1347,57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271A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448,17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E44A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1420,15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CE89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9974,37</w:t>
            </w:r>
          </w:p>
        </w:tc>
      </w:tr>
      <w:tr w:rsidR="001F4E16" w:rsidRPr="000508A4" w14:paraId="401AA307" w14:textId="77777777" w:rsidTr="00965BEA">
        <w:trPr>
          <w:trHeight w:val="566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9AC6CE" w14:textId="48C25E1E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დაგროვებული ნარჩენების ამოღება (ამოღების 1-ელი საფეხური) – 3 სამუშაო / 1 სარეზერვო მიწახაპია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A5C6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8E12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1648,35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2D2B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1445,29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A24B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546,23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B84A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1545,07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CCB2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10140,20</w:t>
            </w:r>
          </w:p>
        </w:tc>
      </w:tr>
      <w:tr w:rsidR="00965BEA" w:rsidRPr="000508A4" w14:paraId="06E9784A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ED1FA1" w14:textId="4921B385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ПНС-2 855,0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4665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6189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C49A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F6E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B7AB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DF6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3E16F7E0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B85F83" w14:textId="18C98282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lastRenderedPageBreak/>
              <w:t>ПНС-3 815,0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A0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FB44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1FB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A7C9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A5BB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DD5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68775F12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30241F" w14:textId="1248A21B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ПНС-4 775,0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614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941F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2D00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1445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688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6F4B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1F4E16" w:rsidRPr="000508A4" w14:paraId="70F517FA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8712AD" w14:textId="2C55F49B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საავტომობილო გზის გარე განათება (სიგრძე – 3,2 კმ)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44838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7039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196C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E82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EDB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5F84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146,26</w:t>
            </w:r>
          </w:p>
        </w:tc>
      </w:tr>
      <w:tr w:rsidR="00965BEA" w:rsidRPr="000508A4" w14:paraId="674EE91D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5A5C789" w14:textId="691D5A56" w:rsidR="00965BEA" w:rsidRPr="000508A4" w:rsidRDefault="008D6C1E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E4940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FD8C4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5945,55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FB933A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5004,06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BB824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1720,70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E40D0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  <w:t>5291,64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4AF1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36449,31</w:t>
            </w:r>
          </w:p>
        </w:tc>
      </w:tr>
      <w:tr w:rsidR="00965BEA" w:rsidRPr="000508A4" w14:paraId="3638B319" w14:textId="77777777" w:rsidTr="00965BEA">
        <w:trPr>
          <w:trHeight w:val="292"/>
          <w:jc w:val="center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5951E7DB" w14:textId="13EE0B22" w:rsidR="00965BEA" w:rsidRPr="000508A4" w:rsidRDefault="008D6C1E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ექსპლუატაციის 25-დან 27 წლის ჩათვლით პერიოდში დაგროვებული ნარჩენების ამოღება </w:t>
            </w:r>
          </w:p>
        </w:tc>
      </w:tr>
      <w:tr w:rsidR="001F4E16" w:rsidRPr="000508A4" w14:paraId="5CF93724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3B8732" w14:textId="0B6640D6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შესქელების კვანძი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5D15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D94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1581,00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584C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1347,57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329B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448,17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135E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1420,15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B353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9974,37</w:t>
            </w:r>
          </w:p>
        </w:tc>
      </w:tr>
      <w:tr w:rsidR="001F4E16" w:rsidRPr="000508A4" w14:paraId="57B9E3B0" w14:textId="77777777" w:rsidTr="00965BEA">
        <w:trPr>
          <w:trHeight w:val="566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C54A10" w14:textId="5AF77633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დაგროვებული ნარჩენების ამოღება (ამოღების 1-ელი საფეხური) – 3 სამუშაო / 1 სარეზერვო მიწახაპია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3236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18C2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1648,35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ADD5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1445,29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98AD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546,23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E596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1545,07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682EF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10140,20</w:t>
            </w:r>
          </w:p>
        </w:tc>
      </w:tr>
      <w:tr w:rsidR="00965BEA" w:rsidRPr="000508A4" w14:paraId="4B45636E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60C11D" w14:textId="563BC8A3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ПНС-1(4) 755,0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37C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704A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73B1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189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BAD7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9D5B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0668CDD7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0455B7" w14:textId="1C21D7FB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ПНС-2 855,0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6C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6BD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2BB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A56F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80DF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B411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59D06952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AD6687" w14:textId="7B67EB27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ПНС-3 815,0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3671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4805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BFC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4D5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31C3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B9C5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4D361E1E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6555D1" w14:textId="35A6393B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ПНС-4 775,0</w:t>
            </w:r>
            <w:r w:rsidR="001F4E16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036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3D0A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926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7215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6DA9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EB0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1F4E16" w:rsidRPr="000508A4" w14:paraId="432F8CC7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2E560B" w14:textId="64F26B1E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საავტომობილო გზის გარე განათება (სიგრძე – 3,2 კმ)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A21C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FC44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8C59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35C2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1E09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E87B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146,26</w:t>
            </w:r>
          </w:p>
        </w:tc>
      </w:tr>
      <w:tr w:rsidR="00965BEA" w:rsidRPr="000508A4" w14:paraId="0756D6CF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2387CD2" w14:textId="4E82E049" w:rsidR="00965BEA" w:rsidRPr="000508A4" w:rsidRDefault="008D6C1E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19458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E1415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6845,55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525A6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5735,56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217BD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1961,13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757D9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  <w:t>6061,58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09C3F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41845,47</w:t>
            </w:r>
          </w:p>
        </w:tc>
      </w:tr>
      <w:tr w:rsidR="00965BEA" w:rsidRPr="000508A4" w14:paraId="02DD617F" w14:textId="77777777" w:rsidTr="00965BEA">
        <w:trPr>
          <w:trHeight w:val="292"/>
          <w:jc w:val="center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297B8656" w14:textId="410EA304" w:rsidR="00965BEA" w:rsidRPr="000508A4" w:rsidRDefault="008D6C1E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ექსპლუატაციის 27-დან 28 წლის ჩათვლით პერიოდში დაგროვებული ნარჩენების ამოღება </w:t>
            </w:r>
          </w:p>
        </w:tc>
      </w:tr>
      <w:tr w:rsidR="001F4E16" w:rsidRPr="000508A4" w14:paraId="115C9E3A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F1E6DC" w14:textId="29872AE8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შესქელების კვანძი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2F5C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B80D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1581,00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C8E7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1347,57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1B43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448,17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EE9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1420,15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4C1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9974,37</w:t>
            </w:r>
          </w:p>
        </w:tc>
      </w:tr>
      <w:tr w:rsidR="001F4E16" w:rsidRPr="000508A4" w14:paraId="79B0A16D" w14:textId="77777777" w:rsidTr="00965BEA">
        <w:trPr>
          <w:trHeight w:val="566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2ECFF1" w14:textId="48412DD2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დაგროვებული ნარჩენების ამოღება (ამოღების 1-ელი საფეხური) – 3 სამუშაო / 1 სარეზერვო მიწახაპია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2539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B8ED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1648,35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1EF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1445,29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919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546,23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19E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1545,07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9B0A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10140,20</w:t>
            </w:r>
          </w:p>
        </w:tc>
      </w:tr>
      <w:tr w:rsidR="00965BEA" w:rsidRPr="000508A4" w14:paraId="4B3F6F87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2DC7CA" w14:textId="496D709B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ПНС-2 855,0</w:t>
            </w:r>
            <w:r w:rsidR="0010572B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64727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9AE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73C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37D1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3D8B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D78F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382CEF18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A65B11" w14:textId="588FE2AF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ПНС-3 815,0</w:t>
            </w:r>
            <w:r w:rsidR="0010572B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90E4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3C03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405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301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683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72E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0A9EA06E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DD4A21" w14:textId="2A828F6F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ПНС-4 775,0</w:t>
            </w:r>
            <w:r w:rsidR="0010572B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A8BB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F87B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6BE9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B2C4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0369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B6C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425F1FE1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7D5A28" w14:textId="3183FEC3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ПНС-5 735,0</w:t>
            </w:r>
            <w:r w:rsidR="0010572B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5ADE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C22D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2CC9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FF3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1BBF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4E84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1F4E16" w:rsidRPr="000508A4" w14:paraId="07AE7AC8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56D361" w14:textId="0039CADA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საავტომობილო გზის გარე განათება (სიგრძე – 3,2 კმ)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0581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1AD3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FF3F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F19F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4385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083A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146,26</w:t>
            </w:r>
          </w:p>
        </w:tc>
      </w:tr>
      <w:tr w:rsidR="00965BEA" w:rsidRPr="000508A4" w14:paraId="0A174BA0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BA8F8BD" w14:textId="70EB1DC1" w:rsidR="00965BEA" w:rsidRPr="000508A4" w:rsidRDefault="008D6C1E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5B395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36771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6845,55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433A9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5735,56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EE3E4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1961,13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C9614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  <w:t>6061,58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64E50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41845,47</w:t>
            </w:r>
          </w:p>
        </w:tc>
      </w:tr>
      <w:tr w:rsidR="00965BEA" w:rsidRPr="000508A4" w14:paraId="7E4BF06A" w14:textId="77777777" w:rsidTr="00965BEA">
        <w:trPr>
          <w:trHeight w:val="292"/>
          <w:jc w:val="center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ABCF691" w14:textId="326FFD5B" w:rsidR="00965BEA" w:rsidRPr="000508A4" w:rsidRDefault="008D6C1E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ექსპლუატაციის 28-დან ექსპლუატაციის ბოლომდე დაგროვებული ნარჩენების ამოღება </w:t>
            </w:r>
          </w:p>
        </w:tc>
      </w:tr>
      <w:tr w:rsidR="001F4E16" w:rsidRPr="000508A4" w14:paraId="08520790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53073F" w14:textId="6534C7A8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შესქელების კვანძი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D5BB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123E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1581,00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DE9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1347,57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B83D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448,17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A18C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1420,15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6A33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9974,37</w:t>
            </w:r>
          </w:p>
        </w:tc>
      </w:tr>
      <w:tr w:rsidR="001F4E16" w:rsidRPr="000508A4" w14:paraId="2C27E275" w14:textId="77777777" w:rsidTr="00965BEA">
        <w:trPr>
          <w:trHeight w:val="566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F8DB68" w14:textId="2EC6AD67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lastRenderedPageBreak/>
              <w:t>დაგროვებული ნარჩენების ამოღება (ამოღების 1-ელი საფეხური) – 3 სამუშაო / 1 სარეზერვო მიწახაპია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F22E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C0E8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1648,35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30DC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1445,29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6B0D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546,23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9754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1545,07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67E7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10140,20</w:t>
            </w:r>
          </w:p>
        </w:tc>
      </w:tr>
      <w:tr w:rsidR="00965BEA" w:rsidRPr="000508A4" w14:paraId="4C72793E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277EAB" w14:textId="454DAF46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ПНС-1(5) 715,0</w:t>
            </w:r>
            <w:r w:rsidR="0010572B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29A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F894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1F9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4EFB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CC9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F1A1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783BFE42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A20B80" w14:textId="0469764A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ПНС-2 855,0</w:t>
            </w:r>
            <w:r w:rsidR="0010572B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0E63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9A1F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6CE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CB5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626A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35C0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64895068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961F64" w14:textId="05727580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ПНС-3 815,0</w:t>
            </w:r>
            <w:r w:rsidR="0010572B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0B1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F09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4B3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6B5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FE6F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B36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0CABFFD0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DE8565" w14:textId="29B12FD1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ПНС-4 775,0</w:t>
            </w:r>
            <w:r w:rsidR="0010572B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1E7A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FD4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285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B83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FB70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A8EB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965BEA" w:rsidRPr="000508A4" w14:paraId="2653A1AA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818A22" w14:textId="12ED96FE" w:rsidR="00965BEA" w:rsidRPr="000508A4" w:rsidRDefault="00965BEA" w:rsidP="00D273B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ПНС-5 735,0</w:t>
            </w:r>
            <w:r w:rsidR="0010572B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 ნიშნულზე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FD57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B4EA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900,00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6BB2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731,50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5AB6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240,43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EA28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EC0D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5396,16</w:t>
            </w:r>
          </w:p>
        </w:tc>
      </w:tr>
      <w:tr w:rsidR="001F4E16" w:rsidRPr="000508A4" w14:paraId="56067DAA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6DC2A8" w14:textId="6EA6BE7E" w:rsidR="001F4E16" w:rsidRPr="000508A4" w:rsidRDefault="001F4E16" w:rsidP="001F4E16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საავტომობილო გზის გარე განათება (სიგრძე – 3,2 კმ)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A75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5A56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90E1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16,70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B020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91CC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EE3E" w14:textId="77777777" w:rsidR="001F4E16" w:rsidRPr="000508A4" w:rsidRDefault="001F4E16" w:rsidP="001F4E1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146,26</w:t>
            </w:r>
          </w:p>
        </w:tc>
      </w:tr>
      <w:tr w:rsidR="00965BEA" w:rsidRPr="000508A4" w14:paraId="14C98459" w14:textId="77777777" w:rsidTr="00965BEA">
        <w:trPr>
          <w:trHeight w:val="292"/>
          <w:jc w:val="center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20FC4FD" w14:textId="3F4BCE33" w:rsidR="00965BEA" w:rsidRPr="000508A4" w:rsidRDefault="008D6C1E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04FCC5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1E9C2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7745,55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1894C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6467,06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0D0FF0" w14:textId="77777777" w:rsidR="00965BEA" w:rsidRPr="000508A4" w:rsidRDefault="00965BEA" w:rsidP="00D273B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2201,57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29302C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  <w:t>6831,53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29D47D" w14:textId="77777777" w:rsidR="00965BEA" w:rsidRPr="000508A4" w:rsidRDefault="00965BEA" w:rsidP="00D273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47241,63</w:t>
            </w:r>
          </w:p>
        </w:tc>
      </w:tr>
    </w:tbl>
    <w:p w14:paraId="796F6739" w14:textId="77777777" w:rsidR="00FE5C55" w:rsidRPr="000508A4" w:rsidRDefault="00FE5C55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0D07E47B" w14:textId="77777777" w:rsidR="008E5F15" w:rsidRPr="000508A4" w:rsidRDefault="008E5F15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5C7F5D3A" w14:textId="77777777" w:rsidR="0010572B" w:rsidRPr="000508A4" w:rsidRDefault="0010572B" w:rsidP="0010572B">
      <w:pPr>
        <w:spacing w:line="276" w:lineRule="auto"/>
        <w:jc w:val="center"/>
        <w:rPr>
          <w:rFonts w:asciiTheme="minorHAnsi" w:hAnsiTheme="minorHAnsi" w:cstheme="minorHAnsi"/>
          <w:b/>
          <w:sz w:val="24"/>
          <w:lang w:val="ka-GE"/>
        </w:rPr>
      </w:pPr>
      <w:r w:rsidRPr="000508A4">
        <w:rPr>
          <w:rFonts w:asciiTheme="minorHAnsi" w:hAnsiTheme="minorHAnsi" w:cstheme="minorHAnsi"/>
          <w:b/>
          <w:sz w:val="24"/>
          <w:lang w:val="ka-GE"/>
        </w:rPr>
        <w:t xml:space="preserve">„მადნეულის რეკონსტრუქცია მწარმოებლურობის გაზრდით წელიწადში 6 მლნ. ტონა მადნამდე“ პროექტის </w:t>
      </w:r>
    </w:p>
    <w:p w14:paraId="1D285BEE" w14:textId="77777777" w:rsidR="0010572B" w:rsidRPr="000508A4" w:rsidRDefault="0010572B" w:rsidP="0010572B">
      <w:pPr>
        <w:spacing w:line="276" w:lineRule="auto"/>
        <w:jc w:val="center"/>
        <w:rPr>
          <w:rFonts w:asciiTheme="minorHAnsi" w:hAnsiTheme="minorHAnsi" w:cstheme="minorHAnsi"/>
          <w:b/>
          <w:sz w:val="24"/>
          <w:lang w:val="ka-GE"/>
        </w:rPr>
      </w:pPr>
      <w:r w:rsidRPr="000508A4">
        <w:rPr>
          <w:rFonts w:asciiTheme="minorHAnsi" w:hAnsiTheme="minorHAnsi" w:cstheme="minorHAnsi"/>
          <w:b/>
          <w:sz w:val="24"/>
          <w:lang w:val="ka-GE"/>
        </w:rPr>
        <w:t>ელექტრული დატვირთვების უწყისი</w:t>
      </w:r>
    </w:p>
    <w:p w14:paraId="13AD0093" w14:textId="77777777" w:rsidR="00417FAA" w:rsidRPr="000508A4" w:rsidRDefault="00417FAA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tbl>
      <w:tblPr>
        <w:tblW w:w="13842" w:type="dxa"/>
        <w:jc w:val="center"/>
        <w:tblLook w:val="04A0" w:firstRow="1" w:lastRow="0" w:firstColumn="1" w:lastColumn="0" w:noHBand="0" w:noVBand="1"/>
      </w:tblPr>
      <w:tblGrid>
        <w:gridCol w:w="6374"/>
        <w:gridCol w:w="1020"/>
        <w:gridCol w:w="1129"/>
        <w:gridCol w:w="1054"/>
        <w:gridCol w:w="984"/>
        <w:gridCol w:w="1054"/>
        <w:gridCol w:w="2220"/>
        <w:gridCol w:w="7"/>
      </w:tblGrid>
      <w:tr w:rsidR="0010572B" w:rsidRPr="000508A4" w14:paraId="12124EE0" w14:textId="77777777" w:rsidTr="000827EC">
        <w:trPr>
          <w:gridAfter w:val="1"/>
          <w:wAfter w:w="7" w:type="dxa"/>
          <w:trHeight w:val="300"/>
          <w:tblHeader/>
          <w:jc w:val="center"/>
        </w:trPr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28AE2F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AF07F5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cosφ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D11567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გაანგარიშებული სიმძლავრე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2ECA44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ელექტროენერგიის წლიური ხარჯი</w:t>
            </w:r>
          </w:p>
        </w:tc>
      </w:tr>
      <w:tr w:rsidR="0010572B" w:rsidRPr="000508A4" w14:paraId="3C22281B" w14:textId="77777777" w:rsidTr="000827EC">
        <w:trPr>
          <w:gridAfter w:val="1"/>
          <w:wAfter w:w="7" w:type="dxa"/>
          <w:trHeight w:val="292"/>
          <w:tblHeader/>
          <w:jc w:val="center"/>
        </w:trPr>
        <w:tc>
          <w:tcPr>
            <w:tcW w:w="6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689561" w14:textId="77777777" w:rsidR="0010572B" w:rsidRPr="000508A4" w:rsidRDefault="0010572B" w:rsidP="002A488E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ka-GE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37984F" w14:textId="77777777" w:rsidR="0010572B" w:rsidRPr="000508A4" w:rsidRDefault="0010572B" w:rsidP="002A488E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ka-G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DAE204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Pу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1DB30E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Pp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36B06D0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Qp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BF13487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Sр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78E626" w14:textId="77777777" w:rsidR="0010572B" w:rsidRPr="000508A4" w:rsidRDefault="0010572B" w:rsidP="002A488E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ka-GE"/>
              </w:rPr>
            </w:pPr>
          </w:p>
        </w:tc>
      </w:tr>
      <w:tr w:rsidR="0010572B" w:rsidRPr="000508A4" w14:paraId="06FA387C" w14:textId="77777777" w:rsidTr="000827EC">
        <w:trPr>
          <w:gridAfter w:val="1"/>
          <w:wAfter w:w="7" w:type="dxa"/>
          <w:trHeight w:val="292"/>
          <w:tblHeader/>
          <w:jc w:val="center"/>
        </w:trPr>
        <w:tc>
          <w:tcPr>
            <w:tcW w:w="6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6967A8" w14:textId="77777777" w:rsidR="0010572B" w:rsidRPr="000508A4" w:rsidRDefault="0010572B" w:rsidP="002A488E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ka-G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BA5553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681AF6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კვტ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DEFF9E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კვტ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014FB3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კვარ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5B8E2C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კვა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6A0979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მვტ*სთ</w:t>
            </w:r>
          </w:p>
        </w:tc>
      </w:tr>
      <w:tr w:rsidR="0010572B" w:rsidRPr="000508A4" w14:paraId="22BE012A" w14:textId="77777777" w:rsidTr="000827EC">
        <w:trPr>
          <w:gridAfter w:val="1"/>
          <w:wAfter w:w="7" w:type="dxa"/>
          <w:trHeight w:val="292"/>
          <w:tblHeader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8559223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D41F2F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BD1915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77E749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F0BF41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E5CB07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AA77AD" w14:textId="77777777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7</w:t>
            </w:r>
          </w:p>
        </w:tc>
      </w:tr>
      <w:tr w:rsidR="0010572B" w:rsidRPr="000508A4" w14:paraId="12A5EAD4" w14:textId="77777777" w:rsidTr="000827EC">
        <w:trPr>
          <w:trHeight w:val="292"/>
          <w:jc w:val="center"/>
        </w:trPr>
        <w:tc>
          <w:tcPr>
            <w:tcW w:w="13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6E3F6F83" w14:textId="1C5C04C3" w:rsidR="0010572B" w:rsidRPr="000508A4" w:rsidRDefault="00B750AE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დაქუცმაცების უბანი</w:t>
            </w:r>
            <w:r w:rsidR="0010572B"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 </w:t>
            </w:r>
          </w:p>
        </w:tc>
      </w:tr>
      <w:tr w:rsidR="0010572B" w:rsidRPr="000508A4" w14:paraId="3F463D1C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2E92C6" w14:textId="2F9F33DB" w:rsidR="0010572B" w:rsidRPr="000508A4" w:rsidRDefault="00B750AE" w:rsidP="002A488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დაქუცმაცების უბანი (ТХ)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5B8B" w14:textId="3668E434" w:rsidR="0010572B" w:rsidRPr="000508A4" w:rsidRDefault="00823F35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1C461" w14:textId="5FBEF365" w:rsidR="0010572B" w:rsidRPr="000508A4" w:rsidRDefault="00823F35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390,0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A8C3" w14:textId="4BBD0DC3" w:rsidR="0010572B" w:rsidRPr="000508A4" w:rsidRDefault="00823F35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276,16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20D6A" w14:textId="72F168AD" w:rsidR="0010572B" w:rsidRPr="000508A4" w:rsidRDefault="00823F35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201,5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98DC7" w14:textId="7BCD5269" w:rsidR="0010572B" w:rsidRPr="000508A4" w:rsidRDefault="00823F35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341,86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BED7" w14:textId="77854D46" w:rsidR="0010572B" w:rsidRPr="000508A4" w:rsidRDefault="00823F35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1528,71</w:t>
            </w:r>
          </w:p>
        </w:tc>
      </w:tr>
      <w:tr w:rsidR="0010572B" w:rsidRPr="000508A4" w14:paraId="6BCC3606" w14:textId="77777777" w:rsidTr="000827EC">
        <w:trPr>
          <w:gridAfter w:val="1"/>
          <w:wAfter w:w="7" w:type="dxa"/>
          <w:trHeight w:val="329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A33085" w14:textId="299735E7" w:rsidR="0010572B" w:rsidRPr="000508A4" w:rsidRDefault="00B750AE" w:rsidP="002A488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დაქუცმაცების უბანი (С</w:t>
            </w:r>
            <w:r w:rsidR="00823F35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Н</w:t>
            </w: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0D86" w14:textId="6F4EA961" w:rsidR="0010572B" w:rsidRPr="000508A4" w:rsidRDefault="00823F35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91CA" w14:textId="398BA61D" w:rsidR="0010572B" w:rsidRPr="000508A4" w:rsidRDefault="00823F35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600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DD07D" w14:textId="169662FC" w:rsidR="0010572B" w:rsidRPr="000508A4" w:rsidRDefault="00823F35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486,79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5101" w14:textId="79AD117F" w:rsidR="0010572B" w:rsidRPr="000508A4" w:rsidRDefault="00823F35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331,0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48E78" w14:textId="0840E8B6" w:rsidR="0010572B" w:rsidRPr="000508A4" w:rsidRDefault="00823F35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588,67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A7C37" w14:textId="5826CBA2" w:rsidR="0010572B" w:rsidRPr="000508A4" w:rsidRDefault="00823F35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2691,07</w:t>
            </w:r>
          </w:p>
        </w:tc>
      </w:tr>
      <w:tr w:rsidR="0010572B" w:rsidRPr="000508A4" w14:paraId="783D6C76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1818A" w14:textId="32428D83" w:rsidR="0010572B" w:rsidRPr="000508A4" w:rsidRDefault="0010572B" w:rsidP="002A488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3A44" w14:textId="4BCA7DA2" w:rsidR="0010572B" w:rsidRPr="000508A4" w:rsidRDefault="0010572B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EFFD8" w14:textId="1C8595A4" w:rsidR="0010572B" w:rsidRPr="000508A4" w:rsidRDefault="0010572B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9E3B4" w14:textId="5D0178D6" w:rsidR="0010572B" w:rsidRPr="000508A4" w:rsidRDefault="0010572B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128F5" w14:textId="4AD4B3C5" w:rsidR="0010572B" w:rsidRPr="000508A4" w:rsidRDefault="0010572B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4486" w14:textId="38BD222C" w:rsidR="0010572B" w:rsidRPr="000508A4" w:rsidRDefault="0010572B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ABCE5" w14:textId="1B201472" w:rsidR="0010572B" w:rsidRPr="000508A4" w:rsidRDefault="0010572B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</w:tr>
      <w:tr w:rsidR="0010572B" w:rsidRPr="000508A4" w14:paraId="2F6062E6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776F1D0" w14:textId="77777777" w:rsidR="0010572B" w:rsidRPr="000508A4" w:rsidRDefault="0010572B" w:rsidP="002A48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2797A5" w14:textId="37C4E66D" w:rsidR="0010572B" w:rsidRPr="000508A4" w:rsidRDefault="0010572B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EF18209" w14:textId="5A2DF197" w:rsidR="0010572B" w:rsidRPr="000508A4" w:rsidRDefault="00823F35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990,0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2167F17" w14:textId="7D27D556" w:rsidR="0010572B" w:rsidRPr="000508A4" w:rsidRDefault="00823F35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761,87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4167DCE" w14:textId="0CDF2FEA" w:rsidR="0010572B" w:rsidRPr="000508A4" w:rsidRDefault="00823F35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519,18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DE529C4" w14:textId="66958EA9" w:rsidR="0010572B" w:rsidRPr="000508A4" w:rsidRDefault="00823F35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921,95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B802D8D" w14:textId="5FA5F5B8" w:rsidR="0010572B" w:rsidRPr="000508A4" w:rsidRDefault="00823F35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4219.78</w:t>
            </w:r>
          </w:p>
        </w:tc>
      </w:tr>
      <w:tr w:rsidR="0010572B" w:rsidRPr="000508A4" w14:paraId="78EF23A8" w14:textId="77777777" w:rsidTr="000827EC">
        <w:trPr>
          <w:trHeight w:val="292"/>
          <w:jc w:val="center"/>
        </w:trPr>
        <w:tc>
          <w:tcPr>
            <w:tcW w:w="13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1FBEE1F4" w14:textId="185CF290" w:rsidR="0010572B" w:rsidRPr="000508A4" w:rsidRDefault="00FE5C55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მსხვილად </w:t>
            </w:r>
            <w:r w:rsidR="000508A4">
              <w:rPr>
                <w:rFonts w:asciiTheme="minorHAnsi" w:hAnsiTheme="minorHAnsi" w:cstheme="minorHAnsi"/>
                <w:b/>
                <w:bCs/>
                <w:lang w:val="ka-GE"/>
              </w:rPr>
              <w:t>დაღერღილი</w:t>
            </w: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 მადნის საწყობი</w:t>
            </w:r>
          </w:p>
        </w:tc>
      </w:tr>
      <w:tr w:rsidR="0010572B" w:rsidRPr="000508A4" w14:paraId="05185940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7D1F4" w14:textId="45AFF234" w:rsidR="0010572B" w:rsidRPr="000508A4" w:rsidRDefault="00823F35" w:rsidP="002A488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მსხვილად </w:t>
            </w:r>
            <w:r w:rsid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დაღერღილი</w:t>
            </w: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მადნის საწყობი (ТХ)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431A" w14:textId="03F66D48" w:rsidR="0010572B" w:rsidRPr="000508A4" w:rsidRDefault="000508A4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0FE89" w14:textId="5FD8F1F8" w:rsidR="0010572B" w:rsidRPr="000508A4" w:rsidRDefault="000508A4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337,00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18930" w14:textId="63D5BFAA" w:rsidR="0010572B" w:rsidRPr="000508A4" w:rsidRDefault="000508A4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238,57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D1DA" w14:textId="1686077E" w:rsidR="0010572B" w:rsidRPr="000508A4" w:rsidRDefault="000508A4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171,50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762C0" w14:textId="5A44C648" w:rsidR="0010572B" w:rsidRPr="000508A4" w:rsidRDefault="000508A4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293,81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42F53" w14:textId="658E9C67" w:rsidR="0010572B" w:rsidRPr="000508A4" w:rsidRDefault="00D76101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1632,15</w:t>
            </w:r>
          </w:p>
        </w:tc>
      </w:tr>
      <w:tr w:rsidR="0010572B" w:rsidRPr="000508A4" w14:paraId="04FCAE47" w14:textId="77777777" w:rsidTr="000827EC">
        <w:trPr>
          <w:gridAfter w:val="1"/>
          <w:wAfter w:w="7" w:type="dxa"/>
          <w:trHeight w:val="17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4946A" w14:textId="6C856322" w:rsidR="0010572B" w:rsidRPr="000508A4" w:rsidRDefault="00823F35" w:rsidP="002A488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მსხვილად </w:t>
            </w:r>
            <w:r w:rsid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დაღერღილი</w:t>
            </w:r>
            <w:r w:rsidR="000508A4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 </w:t>
            </w: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მადნის საწყობი (СН)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E67C6" w14:textId="79AC88FC" w:rsidR="0010572B" w:rsidRPr="000508A4" w:rsidRDefault="00D76101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D26C" w14:textId="73ACA28F" w:rsidR="0010572B" w:rsidRPr="000508A4" w:rsidRDefault="00D76101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600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85B9E" w14:textId="5463779E" w:rsidR="0010572B" w:rsidRPr="000508A4" w:rsidRDefault="00D76101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486,79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F82D6" w14:textId="7B4E91A5" w:rsidR="0010572B" w:rsidRPr="000508A4" w:rsidRDefault="00D76101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331,0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AF554" w14:textId="3095DEE1" w:rsidR="0010572B" w:rsidRPr="000508A4" w:rsidRDefault="00D76101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588,67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6A16" w14:textId="5FCD30FA" w:rsidR="0010572B" w:rsidRPr="000508A4" w:rsidRDefault="00D76101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2691,07</w:t>
            </w:r>
          </w:p>
        </w:tc>
      </w:tr>
      <w:tr w:rsidR="0010572B" w:rsidRPr="000508A4" w14:paraId="487DC8AA" w14:textId="77777777" w:rsidTr="000827EC">
        <w:trPr>
          <w:gridAfter w:val="1"/>
          <w:wAfter w:w="7" w:type="dxa"/>
          <w:trHeight w:val="337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69CED" w14:textId="5C89EFDE" w:rsidR="0010572B" w:rsidRPr="000508A4" w:rsidRDefault="0010572B" w:rsidP="002A488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26B6" w14:textId="6F7AFEB2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DC46" w14:textId="16E522F6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4032" w14:textId="19C0DCD9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A50A" w14:textId="1FA861E9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599C" w14:textId="68E1207E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C7B94" w14:textId="7D8B6CFD" w:rsidR="0010572B" w:rsidRPr="000508A4" w:rsidRDefault="0010572B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</w:tr>
      <w:tr w:rsidR="0010572B" w:rsidRPr="000508A4" w14:paraId="099F63FA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64DD8B7" w14:textId="77777777" w:rsidR="0010572B" w:rsidRPr="000508A4" w:rsidRDefault="0010572B" w:rsidP="002A48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lastRenderedPageBreak/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7FBC4D" w14:textId="5DDCD6C3" w:rsidR="0010572B" w:rsidRPr="000508A4" w:rsidRDefault="0010572B" w:rsidP="00D761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66784F4" w14:textId="29EB86DD" w:rsidR="0010572B" w:rsidRPr="000508A4" w:rsidRDefault="00D76101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937,0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C645A35" w14:textId="3DDF5E47" w:rsidR="0010572B" w:rsidRPr="000508A4" w:rsidRDefault="00D76101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724,38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0E58DBA" w14:textId="67490159" w:rsidR="0010572B" w:rsidRPr="000508A4" w:rsidRDefault="00D76101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478,44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17AF6C1" w14:textId="2CE8F058" w:rsidR="0010572B" w:rsidRPr="00D76101" w:rsidRDefault="00D76101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D7610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868,12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5593051" w14:textId="31B95264" w:rsidR="0010572B" w:rsidRPr="000508A4" w:rsidRDefault="00D76101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4323,23</w:t>
            </w:r>
          </w:p>
        </w:tc>
      </w:tr>
      <w:tr w:rsidR="0010572B" w:rsidRPr="000508A4" w14:paraId="074D40D3" w14:textId="77777777" w:rsidTr="000827EC">
        <w:trPr>
          <w:trHeight w:val="292"/>
          <w:jc w:val="center"/>
        </w:trPr>
        <w:tc>
          <w:tcPr>
            <w:tcW w:w="13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2CB2B69" w14:textId="443A216B" w:rsidR="0010572B" w:rsidRPr="000508A4" w:rsidRDefault="00FE5C55" w:rsidP="002A48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>მადნის მომზადების განყოფილება</w:t>
            </w:r>
            <w:r w:rsidR="0010572B"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 </w:t>
            </w:r>
          </w:p>
        </w:tc>
      </w:tr>
      <w:tr w:rsidR="00823F35" w:rsidRPr="000508A4" w14:paraId="233F9682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CA4C9" w14:textId="4A25B89D" w:rsidR="00823F35" w:rsidRPr="000508A4" w:rsidRDefault="00823F35" w:rsidP="00823F35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მადნის მომზადების განყოფილება (ТХ)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A8D76" w14:textId="436B289D" w:rsidR="00823F35" w:rsidRPr="00EF1ECC" w:rsidRDefault="00EF1EC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1A48F" w14:textId="3CC1D576" w:rsidR="00823F35" w:rsidRPr="000508A4" w:rsidRDefault="00EF1EC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1194,0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E0BB" w14:textId="145CE914" w:rsidR="00823F35" w:rsidRPr="000508A4" w:rsidRDefault="000827E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882,83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45D86" w14:textId="266A3E5C" w:rsidR="00823F35" w:rsidRPr="000508A4" w:rsidRDefault="000827E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579,94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48D42" w14:textId="6BE32646" w:rsidR="00823F35" w:rsidRPr="000508A4" w:rsidRDefault="000827E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1056,28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03ED" w14:textId="0FADB5A3" w:rsidR="00823F35" w:rsidRPr="000508A4" w:rsidRDefault="00520AAA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6018,16</w:t>
            </w:r>
          </w:p>
        </w:tc>
      </w:tr>
      <w:tr w:rsidR="00823F35" w:rsidRPr="000508A4" w14:paraId="48AFA1B6" w14:textId="77777777" w:rsidTr="000827EC">
        <w:trPr>
          <w:gridAfter w:val="1"/>
          <w:wAfter w:w="7" w:type="dxa"/>
          <w:trHeight w:val="95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7DB2FF" w14:textId="45B7E903" w:rsidR="00823F35" w:rsidRPr="000508A4" w:rsidRDefault="00823F35" w:rsidP="00823F35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მადნის მომზადების განყოფილება (СН)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8BC33" w14:textId="42639EA2" w:rsidR="00823F35" w:rsidRPr="00EF1ECC" w:rsidRDefault="00EF1EC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8C904" w14:textId="599B00C7" w:rsidR="00823F35" w:rsidRPr="000508A4" w:rsidRDefault="00EF1EC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48C26" w14:textId="3D545573" w:rsidR="00823F35" w:rsidRPr="000508A4" w:rsidRDefault="000827E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1049,99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64A6" w14:textId="0E66F72F" w:rsidR="00823F35" w:rsidRPr="000508A4" w:rsidRDefault="000827E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705,48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EFBC9" w14:textId="751820AA" w:rsidR="00823F35" w:rsidRPr="000508A4" w:rsidRDefault="000827E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1264,98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32CD" w14:textId="2A8A79BC" w:rsidR="00823F35" w:rsidRPr="000508A4" w:rsidRDefault="00520AAA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5830,66</w:t>
            </w:r>
          </w:p>
        </w:tc>
      </w:tr>
      <w:tr w:rsidR="00823F35" w:rsidRPr="000508A4" w14:paraId="42278629" w14:textId="77777777" w:rsidTr="000827EC">
        <w:trPr>
          <w:gridAfter w:val="1"/>
          <w:wAfter w:w="7" w:type="dxa"/>
          <w:trHeight w:val="95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C6C3F" w14:textId="54F0DE22" w:rsidR="00823F35" w:rsidRPr="00EF1ECC" w:rsidRDefault="00D76101" w:rsidP="00823F35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1-16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МПСИ </w:t>
            </w:r>
            <w:r w:rsidR="00EF1ECC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7,0*5,2 ნახევრად თვითდამქუცმაცებელი წისქვილი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1A0CE" w14:textId="0663E6E9" w:rsidR="00823F35" w:rsidRPr="00EF1ECC" w:rsidRDefault="00EF1EC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B23D" w14:textId="6C2AFC18" w:rsidR="00823F35" w:rsidRPr="000508A4" w:rsidRDefault="00EF1EC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4000,0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C98DE" w14:textId="603D6632" w:rsidR="00823F35" w:rsidRPr="000508A4" w:rsidRDefault="000827E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3040,00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133CB" w14:textId="2416F3FF" w:rsidR="00823F35" w:rsidRPr="000508A4" w:rsidRDefault="000827E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2280,00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E6F6" w14:textId="25EC127A" w:rsidR="00823F35" w:rsidRPr="000508A4" w:rsidRDefault="000827E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3800,00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53AA4" w14:textId="4AE0E784" w:rsidR="00823F35" w:rsidRPr="000508A4" w:rsidRDefault="00520AAA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23967,36</w:t>
            </w:r>
          </w:p>
        </w:tc>
      </w:tr>
      <w:tr w:rsidR="00823F35" w:rsidRPr="000508A4" w14:paraId="3498C969" w14:textId="77777777" w:rsidTr="000827EC">
        <w:trPr>
          <w:gridAfter w:val="1"/>
          <w:wAfter w:w="7" w:type="dxa"/>
          <w:trHeight w:val="95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7F7C6F" w14:textId="11F8C041" w:rsidR="00823F35" w:rsidRPr="000508A4" w:rsidRDefault="00EF1ECC" w:rsidP="00823F35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2-27-(1)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МШЦ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5,5*7,5 სფერული წისქვილი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57356" w14:textId="69D383A9" w:rsidR="00823F35" w:rsidRPr="00EF1ECC" w:rsidRDefault="00EF1EC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68E2" w14:textId="1E6C051B" w:rsidR="00823F35" w:rsidRPr="000508A4" w:rsidRDefault="00EF1EC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4000,0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7A3F" w14:textId="5D28B88D" w:rsidR="00823F35" w:rsidRPr="000508A4" w:rsidRDefault="000827E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3600,0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9C0E" w14:textId="33662C2E" w:rsidR="00823F35" w:rsidRPr="000508A4" w:rsidRDefault="000827E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2700,0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7E68" w14:textId="6E496D7F" w:rsidR="00823F35" w:rsidRPr="000508A4" w:rsidRDefault="000827EC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4500,0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933E6" w14:textId="55722B90" w:rsidR="00823F35" w:rsidRPr="000508A4" w:rsidRDefault="00520AAA" w:rsidP="00823F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28382,4</w:t>
            </w:r>
          </w:p>
        </w:tc>
      </w:tr>
      <w:tr w:rsidR="00EF1ECC" w:rsidRPr="000508A4" w14:paraId="4A710895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BA8A6" w14:textId="4C9586BC" w:rsidR="00EF1ECC" w:rsidRPr="000508A4" w:rsidRDefault="00EF1ECC" w:rsidP="00EF1EC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2-27-(2)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МШЦ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5,5*7,5 სფერული წისქვილი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1A080" w14:textId="229E131A" w:rsidR="00EF1ECC" w:rsidRPr="00EF1ECC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312E" w14:textId="1C08E9C3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4000,0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69405" w14:textId="1DC180B8" w:rsidR="00EF1ECC" w:rsidRPr="000508A4" w:rsidRDefault="000827E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3600,0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94348" w14:textId="4F986385" w:rsidR="00EF1ECC" w:rsidRPr="000508A4" w:rsidRDefault="000827E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2700,0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6F539" w14:textId="4E21F722" w:rsidR="00EF1ECC" w:rsidRPr="000508A4" w:rsidRDefault="000827E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4500,0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A8444" w14:textId="5BAC9172" w:rsidR="00EF1ECC" w:rsidRPr="000508A4" w:rsidRDefault="00520AAA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28382,4</w:t>
            </w:r>
          </w:p>
        </w:tc>
      </w:tr>
      <w:tr w:rsidR="00EF1ECC" w:rsidRPr="000508A4" w14:paraId="632C6182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31AE9" w14:textId="7DE454C7" w:rsidR="00EF1ECC" w:rsidRPr="000508A4" w:rsidRDefault="00EF1ECC" w:rsidP="00EF1EC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543C" w14:textId="26F0C5E3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83161" w14:textId="574FAEC6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B16D3" w14:textId="04D0BF83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78C84" w14:textId="12954DA7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AB7F" w14:textId="3A6367E3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E179B" w14:textId="635E7961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</w:tr>
      <w:tr w:rsidR="00EF1ECC" w:rsidRPr="000508A4" w14:paraId="36EF5C45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8A5AE04" w14:textId="77777777" w:rsidR="00EF1ECC" w:rsidRPr="000508A4" w:rsidRDefault="00EF1ECC" w:rsidP="00EF1EC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11979C" w14:textId="77777777" w:rsidR="00EF1ECC" w:rsidRPr="000508A4" w:rsidRDefault="00EF1ECC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8F21271" w14:textId="073C3DCC" w:rsidR="00EF1ECC" w:rsidRPr="000508A4" w:rsidRDefault="000827EC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1194,0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9BA3990" w14:textId="20DCCA2A" w:rsidR="00EF1ECC" w:rsidRPr="000508A4" w:rsidRDefault="000827EC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12172,79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83F3237" w14:textId="5AD99611" w:rsidR="00EF1ECC" w:rsidRPr="000508A4" w:rsidRDefault="000827EC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8940,55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B7626D8" w14:textId="7ED2A5BA" w:rsidR="00EF1ECC" w:rsidRPr="000827EC" w:rsidRDefault="000827EC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15103,32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EBD1584" w14:textId="440B2A09" w:rsidR="00EF1ECC" w:rsidRPr="000508A4" w:rsidRDefault="00520AAA" w:rsidP="000827E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92580.97</w:t>
            </w:r>
          </w:p>
        </w:tc>
      </w:tr>
      <w:tr w:rsidR="00EF1ECC" w:rsidRPr="000508A4" w14:paraId="5DFC5FF5" w14:textId="77777777" w:rsidTr="000827EC">
        <w:trPr>
          <w:trHeight w:val="292"/>
          <w:jc w:val="center"/>
        </w:trPr>
        <w:tc>
          <w:tcPr>
            <w:tcW w:w="13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17B38B86" w14:textId="661EAD4D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ფლოტაციის განყოფილება </w:t>
            </w:r>
          </w:p>
        </w:tc>
      </w:tr>
      <w:tr w:rsidR="00EF1ECC" w:rsidRPr="000508A4" w14:paraId="7AC263A9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FA1066" w14:textId="4F32CB23" w:rsidR="00EF1ECC" w:rsidRPr="000508A4" w:rsidRDefault="00BE6E22" w:rsidP="00EF1EC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ფლოტაციის </w:t>
            </w:r>
            <w:r w:rsidR="00EF1ECC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განყოფილება (ТХ)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DD17" w14:textId="20C95C36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8,82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9280" w14:textId="6E045019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2167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1F57E" w14:textId="268C14D8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1534,40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3B711" w14:textId="718A1EF3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1062,83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EE47" w14:textId="1E0C6BD2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1866,54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BF13B" w14:textId="58E86A05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10515,83</w:t>
            </w:r>
          </w:p>
        </w:tc>
      </w:tr>
      <w:tr w:rsidR="00EF1ECC" w:rsidRPr="000508A4" w14:paraId="38FF9E03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F1C07F" w14:textId="1BB84ADA" w:rsidR="00EF1ECC" w:rsidRPr="000508A4" w:rsidRDefault="00BE6E22" w:rsidP="00EF1EC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ფლოტაციის </w:t>
            </w:r>
            <w:r w:rsidR="00EF1ECC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განყოფილება (СН)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29490" w14:textId="49B55CDB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3CA5" w14:textId="4CD2D70A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541BC" w14:textId="2CCE91A9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10,49,99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7A130" w14:textId="50E58B75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705,48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8AC0" w14:textId="2B8EF7AD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1264,98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AB932" w14:textId="0DA5B8A3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5830,66</w:t>
            </w:r>
          </w:p>
        </w:tc>
      </w:tr>
      <w:tr w:rsidR="00EF1ECC" w:rsidRPr="000508A4" w14:paraId="24740E2A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5DB3AE" w14:textId="18B359D9" w:rsidR="00EF1ECC" w:rsidRPr="000508A4" w:rsidRDefault="00BE6E22" w:rsidP="00EF1EC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1-53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МШЦ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3,2*3,1 სფერული წისქვილი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2E4D7" w14:textId="5EC1F417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E2A6" w14:textId="5894289B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630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CC47" w14:textId="4A01625B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478,80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8EB2" w14:textId="3EB10FBD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359,10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40069" w14:textId="23A6D389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598,50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06309" w14:textId="2C21CC01" w:rsidR="00EF1ECC" w:rsidRPr="000508A4" w:rsidRDefault="00BE6E22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3774,8592</w:t>
            </w:r>
          </w:p>
        </w:tc>
      </w:tr>
      <w:tr w:rsidR="00EF1ECC" w:rsidRPr="000508A4" w14:paraId="61C24A1B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01616" w14:textId="0E8980C2" w:rsidR="00EF1ECC" w:rsidRPr="000508A4" w:rsidRDefault="00EF1ECC" w:rsidP="00EF1EC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BFFA5" w14:textId="1D2E268C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B1285" w14:textId="22CFE919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226EC" w14:textId="3E9986A9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1BD2" w14:textId="6F69C6FD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407A6" w14:textId="79D74C19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6CA2" w14:textId="5E90F36C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</w:tr>
      <w:tr w:rsidR="00EF1ECC" w:rsidRPr="000508A4" w14:paraId="3E6D0CC9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5A1E40B" w14:textId="77777777" w:rsidR="00EF1ECC" w:rsidRPr="000508A4" w:rsidRDefault="00EF1ECC" w:rsidP="00EF1EC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B66BF6" w14:textId="77777777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58A0D9" w14:textId="6830A69F" w:rsidR="00EF1ECC" w:rsidRPr="000508A4" w:rsidRDefault="00BE6E22" w:rsidP="00297F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4456,0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E1F6E90" w14:textId="5FF37DE2" w:rsidR="00EF1ECC" w:rsidRPr="000508A4" w:rsidRDefault="00BE6E22" w:rsidP="00297F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3240,25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6E159F6" w14:textId="0E18FB35" w:rsidR="00EF1ECC" w:rsidRPr="000508A4" w:rsidRDefault="00BE6E22" w:rsidP="00297F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3240,25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E450F6E" w14:textId="4572E915" w:rsidR="00EF1ECC" w:rsidRPr="00297F18" w:rsidRDefault="00BE6E22" w:rsidP="00297F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297F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3901,04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A6DB95D" w14:textId="2B23786F" w:rsidR="00EF1ECC" w:rsidRPr="000508A4" w:rsidRDefault="00BE6E22" w:rsidP="00297F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21970,15</w:t>
            </w:r>
          </w:p>
        </w:tc>
      </w:tr>
      <w:tr w:rsidR="00EF1ECC" w:rsidRPr="000508A4" w14:paraId="54C0C5D5" w14:textId="77777777" w:rsidTr="000827EC">
        <w:trPr>
          <w:trHeight w:val="292"/>
          <w:jc w:val="center"/>
        </w:trPr>
        <w:tc>
          <w:tcPr>
            <w:tcW w:w="13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890595A" w14:textId="1209A244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კონცენტრატების გაუწყლოვნების განყოფილება + გამდიდრების ნარჩენების შესქელების განყოფილება </w:t>
            </w:r>
          </w:p>
        </w:tc>
      </w:tr>
      <w:tr w:rsidR="00EF1ECC" w:rsidRPr="000508A4" w14:paraId="77AD2CDC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26B34" w14:textId="48A7A0B6" w:rsidR="00EF1ECC" w:rsidRPr="000508A4" w:rsidRDefault="00297F18" w:rsidP="00EF1EC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297F18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კონცენტრატების გაუწყლოვნების განყოფილება + გამდიდრების ნარჩენების შესქელების განყოფილება </w:t>
            </w:r>
            <w:r w:rsidR="00EF1ECC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(ТХ)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74FCD" w14:textId="7FB52A96" w:rsidR="00EF1ECC" w:rsidRPr="000508A4" w:rsidRDefault="00297F18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D683B" w14:textId="37A411F4" w:rsidR="00EF1ECC" w:rsidRPr="000508A4" w:rsidRDefault="00297F18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1221,00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47A7A" w14:textId="5043D9DF" w:rsidR="00EF1ECC" w:rsidRPr="000508A4" w:rsidRDefault="00297F18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862,80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B4209" w14:textId="66465322" w:rsidR="00EF1ECC" w:rsidRPr="000508A4" w:rsidRDefault="00297F18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670,76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11116" w14:textId="70F27592" w:rsidR="00EF1ECC" w:rsidRPr="000508A4" w:rsidRDefault="00297F18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1092,86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958B6" w14:textId="74F08DCA" w:rsidR="00EF1ECC" w:rsidRPr="000508A4" w:rsidRDefault="00297F18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5923,57</w:t>
            </w:r>
          </w:p>
        </w:tc>
      </w:tr>
      <w:tr w:rsidR="00EF1ECC" w:rsidRPr="000508A4" w14:paraId="66B3B982" w14:textId="77777777" w:rsidTr="00297F18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F04DE" w14:textId="35C25A04" w:rsidR="00EF1ECC" w:rsidRPr="000508A4" w:rsidRDefault="00297F18" w:rsidP="00EF1EC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297F18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კონცენტრატების გაუწყლოვნების განყოფილება + გამდიდრების ნარჩენების შესქელების განყოფილება </w:t>
            </w:r>
            <w:r w:rsidR="00EF1ECC"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(СН)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93D5" w14:textId="08A92928" w:rsidR="00EF1ECC" w:rsidRPr="000508A4" w:rsidRDefault="00297F18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54C0" w14:textId="4949019A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600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E4C0D" w14:textId="1C11711C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486,79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63C5" w14:textId="77106365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331,0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3642" w14:textId="34C0115A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588,67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67CEE" w14:textId="519BB9D0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2691,07</w:t>
            </w:r>
          </w:p>
        </w:tc>
      </w:tr>
      <w:tr w:rsidR="00EF1ECC" w:rsidRPr="000508A4" w14:paraId="5E6C6DE7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12DD8" w14:textId="4776038F" w:rsidR="00EF1ECC" w:rsidRPr="000508A4" w:rsidRDefault="00EF1ECC" w:rsidP="00EF1EC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93B5" w14:textId="69C1B628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7513C" w14:textId="012B0093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43367" w14:textId="3F2ECAE8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D0A2" w14:textId="105F9DA0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4A501" w14:textId="5842A924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ADC27" w14:textId="7E107418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</w:tr>
      <w:tr w:rsidR="00EF1ECC" w:rsidRPr="000508A4" w14:paraId="4222BADF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0C1176F" w14:textId="77777777" w:rsidR="00EF1ECC" w:rsidRPr="000508A4" w:rsidRDefault="00EF1ECC" w:rsidP="00EF1EC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AC9FA5" w14:textId="77777777" w:rsidR="00EF1ECC" w:rsidRPr="000508A4" w:rsidRDefault="00EF1ECC" w:rsidP="00297F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B7537C4" w14:textId="65A78D4F" w:rsidR="00EF1ECC" w:rsidRPr="000508A4" w:rsidRDefault="000D0850" w:rsidP="00297F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1821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AE9095E" w14:textId="1622408A" w:rsidR="00EF1ECC" w:rsidRPr="000508A4" w:rsidRDefault="000D0850" w:rsidP="00297F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134514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9195551" w14:textId="281D72F3" w:rsidR="00EF1ECC" w:rsidRPr="000508A4" w:rsidRDefault="000D0850" w:rsidP="00297F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973,60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BEAF7E4" w14:textId="50D6A2D8" w:rsidR="00EF1ECC" w:rsidRPr="00297F18" w:rsidRDefault="000D0850" w:rsidP="00297F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1660,52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034BC25" w14:textId="4DA338E8" w:rsidR="00EF1ECC" w:rsidRPr="000508A4" w:rsidRDefault="000D0850" w:rsidP="00297F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8614,56</w:t>
            </w:r>
          </w:p>
        </w:tc>
      </w:tr>
      <w:tr w:rsidR="00EF1ECC" w:rsidRPr="000508A4" w14:paraId="2FE0D869" w14:textId="77777777" w:rsidTr="000827EC">
        <w:trPr>
          <w:trHeight w:val="292"/>
          <w:jc w:val="center"/>
        </w:trPr>
        <w:tc>
          <w:tcPr>
            <w:tcW w:w="13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967D846" w14:textId="7436A1E0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lang w:val="ka-GE"/>
              </w:rPr>
              <w:t xml:space="preserve">ჰაერით მომარაგების უბანი რეაგენტების უბანთან ერთად </w:t>
            </w:r>
          </w:p>
        </w:tc>
      </w:tr>
      <w:tr w:rsidR="00EF1ECC" w:rsidRPr="000508A4" w14:paraId="4CD388E4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B0BF5" w14:textId="47F068B3" w:rsidR="00EF1ECC" w:rsidRPr="000508A4" w:rsidRDefault="00EF1ECC" w:rsidP="00EF1EC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 xml:space="preserve">ჰაერით მომარაგების უბანი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6B1B5" w14:textId="62414986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C68B0" w14:textId="08225A91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822,0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EC32" w14:textId="3BFF606D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580,49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2636" w14:textId="3B8F1472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455,76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BC9C" w14:textId="64AC3D1A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738,03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88218" w14:textId="66326DFF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4536,45</w:t>
            </w:r>
          </w:p>
        </w:tc>
      </w:tr>
      <w:tr w:rsidR="00EF1ECC" w:rsidRPr="000508A4" w14:paraId="36EBC450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8B8B6E" w14:textId="50E7A59D" w:rsidR="00EF1ECC" w:rsidRPr="000508A4" w:rsidRDefault="00EF1ECC" w:rsidP="00EF1EC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რეაგენტების უბანთან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0DE65" w14:textId="3EA9C6D6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0,81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07D97" w14:textId="08D3C3F1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558,1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ECD6" w14:textId="78AB678A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1445,29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A5A3" w14:textId="58A9812D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546,23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1429" w14:textId="236D8569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1545,07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60B5" w14:textId="4490FC71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  <w:t>5098,35</w:t>
            </w:r>
          </w:p>
        </w:tc>
      </w:tr>
      <w:tr w:rsidR="00EF1ECC" w:rsidRPr="000508A4" w14:paraId="7E726672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CBD440" w14:textId="19C10F85" w:rsidR="00EF1ECC" w:rsidRPr="000508A4" w:rsidRDefault="00EF1ECC" w:rsidP="00EF1EC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5758" w14:textId="1D031172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5AF60" w14:textId="2DE09D66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5B8A3" w14:textId="0E31F715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918FC" w14:textId="71380C04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0583C" w14:textId="5B0F3383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5C3B9" w14:textId="6BA95AD9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ka-GE"/>
              </w:rPr>
            </w:pPr>
          </w:p>
        </w:tc>
      </w:tr>
      <w:tr w:rsidR="00EF1ECC" w:rsidRPr="000508A4" w14:paraId="512FE1B3" w14:textId="77777777" w:rsidTr="000827EC">
        <w:trPr>
          <w:gridAfter w:val="1"/>
          <w:wAfter w:w="7" w:type="dxa"/>
          <w:trHeight w:val="29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B603FA2" w14:textId="77777777" w:rsidR="00EF1ECC" w:rsidRPr="000508A4" w:rsidRDefault="00EF1ECC" w:rsidP="00EF1EC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7628EE" w14:textId="77777777" w:rsidR="00EF1ECC" w:rsidRPr="000508A4" w:rsidRDefault="00EF1ECC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08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E0D0EB2" w14:textId="620C0D48" w:rsidR="00EF1ECC" w:rsidRPr="000508A4" w:rsidRDefault="000D0850" w:rsidP="00EF1EC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5945,55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5F9B383" w14:textId="75FED5B2" w:rsidR="00EF1ECC" w:rsidRPr="000508A4" w:rsidRDefault="000D0850" w:rsidP="00EF1EC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424,49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7684AFB" w14:textId="62BAB0D3" w:rsidR="00EF1ECC" w:rsidRPr="000508A4" w:rsidRDefault="000D0850" w:rsidP="00EF1EC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308,40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7116755" w14:textId="16B8F01F" w:rsidR="00EF1ECC" w:rsidRPr="000D0850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D085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524,69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1B61426" w14:textId="29AF8955" w:rsidR="00EF1ECC" w:rsidRPr="000508A4" w:rsidRDefault="000D0850" w:rsidP="00EF1E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ka-GE"/>
              </w:rPr>
              <w:t>9634,8</w:t>
            </w:r>
          </w:p>
        </w:tc>
      </w:tr>
    </w:tbl>
    <w:p w14:paraId="564A5BED" w14:textId="77777777" w:rsidR="00952BBE" w:rsidRPr="000508A4" w:rsidRDefault="00952BB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7DB563F1" w14:textId="77777777" w:rsidR="00952BBE" w:rsidRPr="000508A4" w:rsidRDefault="00952BB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52EB0989" w14:textId="01B4F0A2" w:rsidR="000D0850" w:rsidRPr="000508A4" w:rsidRDefault="00241BB6" w:rsidP="000D0850">
      <w:pPr>
        <w:spacing w:line="276" w:lineRule="auto"/>
        <w:jc w:val="center"/>
        <w:rPr>
          <w:rFonts w:asciiTheme="minorHAnsi" w:hAnsiTheme="minorHAnsi" w:cstheme="minorHAnsi"/>
          <w:b/>
          <w:sz w:val="24"/>
          <w:lang w:val="ka-GE"/>
        </w:rPr>
      </w:pPr>
      <w:r>
        <w:rPr>
          <w:rFonts w:asciiTheme="minorHAnsi" w:hAnsiTheme="minorHAnsi" w:cstheme="minorHAnsi"/>
          <w:b/>
          <w:sz w:val="24"/>
          <w:lang w:val="ka-GE"/>
        </w:rPr>
        <w:t>„გამამდიდრებელი ფაბრიკის რეკონსტრუქცია –</w:t>
      </w:r>
      <w:r w:rsidRPr="00241BB6">
        <w:rPr>
          <w:rFonts w:asciiTheme="minorHAnsi" w:hAnsiTheme="minorHAnsi" w:cstheme="minorHAnsi"/>
          <w:b/>
          <w:sz w:val="24"/>
          <w:lang w:val="ka-GE"/>
        </w:rPr>
        <w:t>„მადნეულის კარიერის რეკულტივაცია“</w:t>
      </w:r>
      <w:r w:rsidR="000D0850" w:rsidRPr="000508A4">
        <w:rPr>
          <w:rFonts w:asciiTheme="minorHAnsi" w:hAnsiTheme="minorHAnsi" w:cstheme="minorHAnsi"/>
          <w:b/>
          <w:sz w:val="24"/>
          <w:lang w:val="ka-GE"/>
        </w:rPr>
        <w:t xml:space="preserve"> პროექტის </w:t>
      </w:r>
    </w:p>
    <w:p w14:paraId="1DD9B4EC" w14:textId="77777777" w:rsidR="000D0850" w:rsidRPr="000508A4" w:rsidRDefault="000D0850" w:rsidP="000D0850">
      <w:pPr>
        <w:spacing w:line="276" w:lineRule="auto"/>
        <w:jc w:val="center"/>
        <w:rPr>
          <w:rFonts w:asciiTheme="minorHAnsi" w:hAnsiTheme="minorHAnsi" w:cstheme="minorHAnsi"/>
          <w:b/>
          <w:sz w:val="24"/>
          <w:lang w:val="ka-GE"/>
        </w:rPr>
      </w:pPr>
      <w:r w:rsidRPr="000508A4">
        <w:rPr>
          <w:rFonts w:asciiTheme="minorHAnsi" w:hAnsiTheme="minorHAnsi" w:cstheme="minorHAnsi"/>
          <w:b/>
          <w:sz w:val="24"/>
          <w:lang w:val="ka-GE"/>
        </w:rPr>
        <w:t>ელექტრული დატვირთვების უწყისი</w:t>
      </w:r>
    </w:p>
    <w:p w14:paraId="1D68A768" w14:textId="77777777" w:rsidR="000D0850" w:rsidRDefault="000D0850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53B86F6D" w14:textId="17F485FC" w:rsidR="00952BBE" w:rsidRPr="000508A4" w:rsidRDefault="008B51C0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  <w:sectPr w:rsidR="00952BBE" w:rsidRPr="000508A4" w:rsidSect="00952BBE">
          <w:pgSz w:w="16838" w:h="11906" w:orient="landscape" w:code="9"/>
          <w:pgMar w:top="709" w:right="1134" w:bottom="1134" w:left="1134" w:header="340" w:footer="244" w:gutter="0"/>
          <w:cols w:space="708"/>
          <w:docGrid w:linePitch="360"/>
        </w:sectPr>
      </w:pPr>
      <w:r w:rsidRPr="000508A4">
        <w:rPr>
          <w:rFonts w:asciiTheme="minorHAnsi" w:hAnsiTheme="minorHAnsi" w:cstheme="minorHAnsi"/>
          <w:b/>
          <w:noProof/>
          <w:sz w:val="24"/>
          <w:lang w:val="ka-GE"/>
        </w:rPr>
        <w:drawing>
          <wp:inline distT="0" distB="0" distL="0" distR="0" wp14:anchorId="1AC4D6DC" wp14:editId="5BC2DFAF">
            <wp:extent cx="9439275" cy="3762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392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4880C" w14:textId="280C2830" w:rsidR="00417FAA" w:rsidRPr="000508A4" w:rsidRDefault="0010572B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  <w:r w:rsidRPr="000508A4">
        <w:rPr>
          <w:rFonts w:asciiTheme="minorHAnsi" w:hAnsiTheme="minorHAnsi" w:cstheme="minorHAnsi"/>
          <w:b/>
          <w:sz w:val="24"/>
          <w:lang w:val="ka-GE"/>
        </w:rPr>
        <w:lastRenderedPageBreak/>
        <w:t xml:space="preserve"> „მადნეულის“</w:t>
      </w:r>
      <w:r w:rsidR="008B51C0" w:rsidRPr="000508A4">
        <w:rPr>
          <w:rFonts w:asciiTheme="minorHAnsi" w:hAnsiTheme="minorHAnsi" w:cstheme="minorHAnsi"/>
          <w:b/>
          <w:sz w:val="24"/>
          <w:lang w:val="ka-GE"/>
        </w:rPr>
        <w:t xml:space="preserve"> 110/10/6кВ</w:t>
      </w:r>
      <w:r w:rsidRPr="000508A4">
        <w:rPr>
          <w:rFonts w:asciiTheme="minorHAnsi" w:hAnsiTheme="minorHAnsi" w:cstheme="minorHAnsi"/>
          <w:b/>
          <w:sz w:val="24"/>
          <w:lang w:val="ka-GE"/>
        </w:rPr>
        <w:t xml:space="preserve"> ქვესადგურისა და</w:t>
      </w:r>
      <w:r w:rsidR="008B51C0" w:rsidRPr="000508A4">
        <w:rPr>
          <w:rFonts w:asciiTheme="minorHAnsi" w:hAnsiTheme="minorHAnsi" w:cstheme="minorHAnsi"/>
          <w:b/>
          <w:sz w:val="24"/>
          <w:lang w:val="ka-GE"/>
        </w:rPr>
        <w:t xml:space="preserve"> </w:t>
      </w:r>
      <w:r w:rsidRPr="000508A4">
        <w:rPr>
          <w:rFonts w:asciiTheme="minorHAnsi" w:hAnsiTheme="minorHAnsi" w:cstheme="minorHAnsi"/>
          <w:b/>
          <w:sz w:val="24"/>
          <w:lang w:val="ka-GE"/>
        </w:rPr>
        <w:t xml:space="preserve">სს „RMG Group“-ის საწარმოო მოედნის ერთობლივი ერთხაზიანი სქემა </w:t>
      </w:r>
    </w:p>
    <w:p w14:paraId="27C20868" w14:textId="258B0E06" w:rsidR="008B51C0" w:rsidRPr="000508A4" w:rsidRDefault="008B51C0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  <w:sectPr w:rsidR="008B51C0" w:rsidRPr="000508A4" w:rsidSect="008B51C0">
          <w:pgSz w:w="16838" w:h="11906" w:orient="landscape" w:code="9"/>
          <w:pgMar w:top="709" w:right="1134" w:bottom="1134" w:left="1134" w:header="340" w:footer="244" w:gutter="0"/>
          <w:cols w:space="708"/>
          <w:docGrid w:linePitch="360"/>
        </w:sectPr>
      </w:pPr>
      <w:r w:rsidRPr="000508A4">
        <w:rPr>
          <w:rFonts w:asciiTheme="minorHAnsi" w:hAnsiTheme="minorHAnsi" w:cstheme="minorHAnsi"/>
          <w:b/>
          <w:noProof/>
          <w:sz w:val="24"/>
          <w:lang w:val="ka-GE" w:eastAsia="ru-RU"/>
        </w:rPr>
        <w:drawing>
          <wp:inline distT="0" distB="0" distL="0" distR="0" wp14:anchorId="0A8ADC4C" wp14:editId="4682DDFD">
            <wp:extent cx="9429750" cy="6000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0k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0AD36" w14:textId="725D78F8" w:rsidR="001A2E02" w:rsidRPr="000508A4" w:rsidRDefault="0010572B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  <w:r w:rsidRPr="000508A4">
        <w:rPr>
          <w:rFonts w:asciiTheme="minorHAnsi" w:hAnsiTheme="minorHAnsi" w:cstheme="minorHAnsi"/>
          <w:b/>
          <w:sz w:val="24"/>
          <w:lang w:val="ka-GE"/>
        </w:rPr>
        <w:lastRenderedPageBreak/>
        <w:t xml:space="preserve">„მადნეულის“ სამრეწველო მოედნის სიტუაციური გეგმა </w:t>
      </w:r>
    </w:p>
    <w:p w14:paraId="69380B43" w14:textId="22CD01F2" w:rsidR="001A2E02" w:rsidRPr="000508A4" w:rsidRDefault="001A2E02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  <w:r w:rsidRPr="000508A4">
        <w:rPr>
          <w:rFonts w:asciiTheme="minorHAnsi" w:hAnsiTheme="minorHAnsi" w:cstheme="minorHAnsi"/>
          <w:b/>
          <w:noProof/>
          <w:sz w:val="24"/>
          <w:lang w:val="ka-GE"/>
        </w:rPr>
        <w:drawing>
          <wp:inline distT="0" distB="0" distL="0" distR="0" wp14:anchorId="2DD05477" wp14:editId="656D85A8">
            <wp:extent cx="5041353" cy="9541142"/>
            <wp:effectExtent l="0" t="1905" r="508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77041" cy="960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50F29" w14:textId="77777777" w:rsidR="002F69EC" w:rsidRDefault="002F69EC" w:rsidP="00D273B1">
      <w:pPr>
        <w:spacing w:line="276" w:lineRule="auto"/>
        <w:rPr>
          <w:rFonts w:asciiTheme="minorHAnsi" w:hAnsiTheme="minorHAnsi" w:cstheme="minorHAnsi"/>
          <w:sz w:val="22"/>
          <w:szCs w:val="22"/>
          <w:lang w:val="ka-GE"/>
        </w:rPr>
      </w:pPr>
    </w:p>
    <w:p w14:paraId="5A80F8E2" w14:textId="42F520C4" w:rsidR="002F69EC" w:rsidRPr="002F69EC" w:rsidRDefault="002F69EC" w:rsidP="00D273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ka-GE"/>
        </w:rPr>
        <w:sectPr w:rsidR="002F69EC" w:rsidRPr="002F69EC" w:rsidSect="001A2E02">
          <w:pgSz w:w="16838" w:h="11906" w:orient="landscape" w:code="9"/>
          <w:pgMar w:top="709" w:right="1134" w:bottom="1134" w:left="1134" w:header="340" w:footer="244" w:gutter="0"/>
          <w:cols w:space="708"/>
          <w:docGrid w:linePitch="360"/>
        </w:sectPr>
      </w:pPr>
    </w:p>
    <w:p w14:paraId="0B00E631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3C8C171B" w14:textId="77777777" w:rsidR="002F69EC" w:rsidRPr="002F69EC" w:rsidRDefault="002F69EC" w:rsidP="002F69EC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ka-GE"/>
        </w:rPr>
      </w:pPr>
      <w:r w:rsidRPr="002F69EC">
        <w:rPr>
          <w:rFonts w:asciiTheme="minorHAnsi" w:hAnsiTheme="minorHAnsi" w:cstheme="minorHAnsi"/>
          <w:b/>
          <w:sz w:val="22"/>
          <w:szCs w:val="22"/>
          <w:lang w:val="ka-GE"/>
        </w:rPr>
        <w:t>პროექტირების ტექნიკურ დავალებაში გამოყენებული შემოკლებების სია:</w:t>
      </w:r>
    </w:p>
    <w:p w14:paraId="655F424B" w14:textId="77777777" w:rsidR="002F69EC" w:rsidRPr="002F69EC" w:rsidRDefault="002F69EC" w:rsidP="002F69EC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ka-GE"/>
        </w:rPr>
      </w:pPr>
      <w:r w:rsidRPr="002F69EC">
        <w:rPr>
          <w:rFonts w:asciiTheme="minorHAnsi" w:hAnsiTheme="minorHAnsi" w:cstheme="minorHAnsi"/>
          <w:b/>
          <w:sz w:val="22"/>
          <w:szCs w:val="22"/>
          <w:lang w:val="ka-GE"/>
        </w:rPr>
        <w:t xml:space="preserve">ОТР </w:t>
      </w:r>
      <w:r w:rsidRPr="002F69EC">
        <w:rPr>
          <w:rFonts w:asciiTheme="minorHAnsi" w:hAnsiTheme="minorHAnsi" w:cstheme="minorHAnsi"/>
          <w:sz w:val="22"/>
          <w:szCs w:val="22"/>
          <w:lang w:val="ka-GE"/>
        </w:rPr>
        <w:t>– ძირითადი ტექნიკური გადაწყვეტილებები</w:t>
      </w:r>
    </w:p>
    <w:p w14:paraId="127F2F22" w14:textId="77777777" w:rsidR="002F69EC" w:rsidRPr="002F69EC" w:rsidRDefault="002F69EC" w:rsidP="002F69EC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ka-GE"/>
        </w:rPr>
      </w:pPr>
      <w:r w:rsidRPr="002F69EC">
        <w:rPr>
          <w:rFonts w:asciiTheme="minorHAnsi" w:hAnsiTheme="minorHAnsi" w:cstheme="minorHAnsi"/>
          <w:b/>
          <w:sz w:val="22"/>
          <w:szCs w:val="22"/>
          <w:lang w:val="ka-GE"/>
        </w:rPr>
        <w:t>УЗИП</w:t>
      </w:r>
      <w:r w:rsidRPr="002F69EC">
        <w:rPr>
          <w:rFonts w:asciiTheme="minorHAnsi" w:hAnsiTheme="minorHAnsi" w:cstheme="minorHAnsi"/>
          <w:sz w:val="22"/>
          <w:szCs w:val="22"/>
          <w:lang w:val="ka-GE"/>
        </w:rPr>
        <w:t xml:space="preserve"> – იმპულსური გადამეტტვირთვისგან დაცვის მოწყობილობები</w:t>
      </w:r>
    </w:p>
    <w:p w14:paraId="343FF6CE" w14:textId="77777777" w:rsidR="002F69EC" w:rsidRPr="002F69EC" w:rsidRDefault="002F69EC" w:rsidP="002F69EC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ka-GE"/>
        </w:rPr>
      </w:pPr>
      <w:r w:rsidRPr="002F69EC">
        <w:rPr>
          <w:rFonts w:asciiTheme="minorHAnsi" w:hAnsiTheme="minorHAnsi" w:cstheme="minorHAnsi"/>
          <w:b/>
          <w:sz w:val="22"/>
          <w:szCs w:val="22"/>
          <w:lang w:val="ka-GE"/>
        </w:rPr>
        <w:t>НТД</w:t>
      </w:r>
      <w:r w:rsidRPr="002F69EC">
        <w:rPr>
          <w:rFonts w:asciiTheme="minorHAnsi" w:hAnsiTheme="minorHAnsi" w:cstheme="minorHAnsi"/>
          <w:sz w:val="22"/>
          <w:szCs w:val="22"/>
          <w:lang w:val="ka-GE"/>
        </w:rPr>
        <w:t xml:space="preserve"> – ნორმატიულ-ტექნიკური დოკუმენტაცია</w:t>
      </w:r>
    </w:p>
    <w:p w14:paraId="14EC134E" w14:textId="77777777" w:rsidR="002F69EC" w:rsidRPr="002F69EC" w:rsidRDefault="002F69EC" w:rsidP="002F69EC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ka-GE"/>
        </w:rPr>
      </w:pPr>
      <w:r w:rsidRPr="002F69EC">
        <w:rPr>
          <w:rFonts w:asciiTheme="minorHAnsi" w:hAnsiTheme="minorHAnsi" w:cstheme="minorHAnsi"/>
          <w:b/>
          <w:sz w:val="22"/>
          <w:szCs w:val="22"/>
          <w:lang w:val="ka-GE"/>
        </w:rPr>
        <w:t>БАВР</w:t>
      </w:r>
      <w:r w:rsidRPr="002F69EC">
        <w:rPr>
          <w:rFonts w:asciiTheme="minorHAnsi" w:hAnsiTheme="minorHAnsi" w:cstheme="minorHAnsi"/>
          <w:sz w:val="22"/>
          <w:szCs w:val="22"/>
          <w:lang w:val="ka-GE"/>
        </w:rPr>
        <w:t xml:space="preserve"> – რეზერვის სწრაფმოქმედი ავტომატური შეყვანა </w:t>
      </w:r>
    </w:p>
    <w:p w14:paraId="3FAD6257" w14:textId="77777777" w:rsidR="002F69EC" w:rsidRPr="002F69EC" w:rsidRDefault="002F69EC" w:rsidP="002F69EC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ka-GE"/>
        </w:rPr>
      </w:pPr>
      <w:r w:rsidRPr="002F69EC">
        <w:rPr>
          <w:rFonts w:asciiTheme="minorHAnsi" w:hAnsiTheme="minorHAnsi" w:cstheme="minorHAnsi"/>
          <w:b/>
          <w:sz w:val="22"/>
          <w:szCs w:val="22"/>
          <w:lang w:val="ka-GE"/>
        </w:rPr>
        <w:t>АСУ Э</w:t>
      </w:r>
      <w:r w:rsidRPr="002F69EC">
        <w:rPr>
          <w:rFonts w:asciiTheme="minorHAnsi" w:hAnsiTheme="minorHAnsi" w:cstheme="minorHAnsi"/>
          <w:sz w:val="22"/>
          <w:szCs w:val="22"/>
          <w:lang w:val="ka-GE"/>
        </w:rPr>
        <w:t xml:space="preserve"> – ენერგეტიკის მართვის ავტომატიზებული სისტემა</w:t>
      </w:r>
    </w:p>
    <w:p w14:paraId="79A2769F" w14:textId="77777777" w:rsidR="002F69EC" w:rsidRDefault="002F69EC" w:rsidP="002F69EC">
      <w:pPr>
        <w:spacing w:line="276" w:lineRule="auto"/>
        <w:rPr>
          <w:rFonts w:asciiTheme="minorHAnsi" w:hAnsiTheme="minorHAnsi" w:cstheme="minorHAnsi"/>
          <w:sz w:val="22"/>
          <w:szCs w:val="22"/>
          <w:lang w:val="ka-GE"/>
        </w:rPr>
      </w:pPr>
      <w:r w:rsidRPr="002F69EC">
        <w:rPr>
          <w:rFonts w:asciiTheme="minorHAnsi" w:hAnsiTheme="minorHAnsi" w:cstheme="minorHAnsi"/>
          <w:b/>
          <w:sz w:val="22"/>
          <w:szCs w:val="22"/>
          <w:lang w:val="ka-GE"/>
        </w:rPr>
        <w:t>СПТ</w:t>
      </w:r>
      <w:r w:rsidRPr="002F69EC">
        <w:rPr>
          <w:rFonts w:asciiTheme="minorHAnsi" w:hAnsiTheme="minorHAnsi" w:cstheme="minorHAnsi"/>
          <w:sz w:val="22"/>
          <w:szCs w:val="22"/>
          <w:lang w:val="ka-GE"/>
        </w:rPr>
        <w:t xml:space="preserve"> – მუდმივი დენის სისტემები</w:t>
      </w:r>
    </w:p>
    <w:p w14:paraId="3C8B8B31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5067A2C7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3DEBFC0D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21315C29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7DA957C6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649940B0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66538038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2C6ACDD8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1867A7B8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5B9A05EC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3EE224E6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04AE5031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2E4729F7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7B21AB1D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55AE7530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62A5D139" w14:textId="77777777" w:rsidR="008B51C0" w:rsidRPr="000508A4" w:rsidRDefault="008B51C0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0E5857C5" w14:textId="77777777" w:rsidR="008B51C0" w:rsidRPr="000508A4" w:rsidRDefault="008B51C0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6E2BCECB" w14:textId="77777777" w:rsidR="008B51C0" w:rsidRPr="000508A4" w:rsidRDefault="008B51C0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21A944B9" w14:textId="77777777" w:rsidR="008B51C0" w:rsidRPr="000508A4" w:rsidRDefault="008B51C0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5412C30A" w14:textId="77777777" w:rsidR="001A2E02" w:rsidRPr="000508A4" w:rsidRDefault="001A2E02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20D2A3CE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32DC8D2D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p w14:paraId="4865F94C" w14:textId="77777777" w:rsidR="004E5724" w:rsidRPr="000508A4" w:rsidRDefault="004E5724" w:rsidP="00D273B1">
      <w:pPr>
        <w:spacing w:line="276" w:lineRule="auto"/>
        <w:rPr>
          <w:rFonts w:asciiTheme="minorHAnsi" w:hAnsiTheme="minorHAnsi" w:cstheme="minorHAnsi"/>
          <w:b/>
          <w:sz w:val="24"/>
          <w:lang w:val="ka-GE"/>
        </w:rPr>
      </w:pPr>
    </w:p>
    <w:bookmarkEnd w:id="1"/>
    <w:bookmarkEnd w:id="2"/>
    <w:p w14:paraId="554E240C" w14:textId="22111543" w:rsidR="000962CE" w:rsidRPr="000508A4" w:rsidRDefault="00112B79" w:rsidP="00D273B1">
      <w:pPr>
        <w:spacing w:line="276" w:lineRule="auto"/>
        <w:rPr>
          <w:rFonts w:asciiTheme="minorHAnsi" w:hAnsiTheme="minorHAnsi" w:cstheme="minorHAnsi"/>
          <w:sz w:val="24"/>
          <w:lang w:val="ka-GE"/>
        </w:rPr>
      </w:pPr>
      <w:r>
        <w:rPr>
          <w:rFonts w:asciiTheme="minorHAnsi" w:hAnsiTheme="minorHAnsi" w:cstheme="minorHAnsi"/>
          <w:b/>
          <w:sz w:val="24"/>
          <w:lang w:val="ka-GE"/>
        </w:rPr>
        <w:t xml:space="preserve"> </w:t>
      </w:r>
      <w:bookmarkStart w:id="3" w:name="_GoBack"/>
      <w:bookmarkEnd w:id="3"/>
    </w:p>
    <w:p w14:paraId="3E3941DC" w14:textId="77777777" w:rsidR="000962CE" w:rsidRPr="000508A4" w:rsidRDefault="000962CE" w:rsidP="00D273B1">
      <w:pPr>
        <w:spacing w:line="276" w:lineRule="auto"/>
        <w:rPr>
          <w:rFonts w:asciiTheme="minorHAnsi" w:hAnsiTheme="minorHAnsi" w:cstheme="minorHAnsi"/>
          <w:sz w:val="24"/>
          <w:lang w:val="ka-GE"/>
        </w:rPr>
      </w:pPr>
    </w:p>
    <w:sectPr w:rsidR="000962CE" w:rsidRPr="000508A4" w:rsidSect="00417FAA">
      <w:pgSz w:w="11906" w:h="16838" w:code="9"/>
      <w:pgMar w:top="1134" w:right="709" w:bottom="1134" w:left="1134" w:header="340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ABF02" w14:textId="77777777" w:rsidR="007B63BF" w:rsidRDefault="007B63BF" w:rsidP="0002060A">
      <w:r>
        <w:separator/>
      </w:r>
    </w:p>
  </w:endnote>
  <w:endnote w:type="continuationSeparator" w:id="0">
    <w:p w14:paraId="5DE2C9CB" w14:textId="77777777" w:rsidR="007B63BF" w:rsidRDefault="007B63BF" w:rsidP="0002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530746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EF7F8A3" w14:textId="17B3250F" w:rsidR="00965BEA" w:rsidRPr="0002060A" w:rsidRDefault="00965BEA">
        <w:pPr>
          <w:pStyle w:val="Footer"/>
          <w:jc w:val="right"/>
          <w:rPr>
            <w:sz w:val="22"/>
            <w:szCs w:val="22"/>
          </w:rPr>
        </w:pPr>
        <w:r w:rsidRPr="0002060A">
          <w:rPr>
            <w:sz w:val="22"/>
            <w:szCs w:val="22"/>
          </w:rPr>
          <w:fldChar w:fldCharType="begin"/>
        </w:r>
        <w:r w:rsidRPr="0002060A">
          <w:rPr>
            <w:sz w:val="22"/>
            <w:szCs w:val="22"/>
          </w:rPr>
          <w:instrText>PAGE   \* MERGEFORMAT</w:instrText>
        </w:r>
        <w:r w:rsidRPr="0002060A">
          <w:rPr>
            <w:sz w:val="22"/>
            <w:szCs w:val="22"/>
          </w:rPr>
          <w:fldChar w:fldCharType="separate"/>
        </w:r>
        <w:r w:rsidR="001A2E02">
          <w:rPr>
            <w:noProof/>
            <w:sz w:val="22"/>
            <w:szCs w:val="22"/>
          </w:rPr>
          <w:t>15</w:t>
        </w:r>
        <w:r w:rsidRPr="0002060A">
          <w:rPr>
            <w:sz w:val="22"/>
            <w:szCs w:val="22"/>
          </w:rPr>
          <w:fldChar w:fldCharType="end"/>
        </w:r>
      </w:p>
    </w:sdtContent>
  </w:sdt>
  <w:p w14:paraId="2C104BF0" w14:textId="77777777" w:rsidR="00965BEA" w:rsidRDefault="00965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AAE24" w14:textId="77777777" w:rsidR="007B63BF" w:rsidRDefault="007B63BF" w:rsidP="0002060A">
      <w:r>
        <w:separator/>
      </w:r>
    </w:p>
  </w:footnote>
  <w:footnote w:type="continuationSeparator" w:id="0">
    <w:p w14:paraId="47625573" w14:textId="77777777" w:rsidR="007B63BF" w:rsidRDefault="007B63BF" w:rsidP="00020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A5EB2"/>
    <w:multiLevelType w:val="multilevel"/>
    <w:tmpl w:val="B290D6B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89"/>
        </w:tabs>
        <w:ind w:left="2189" w:hanging="389"/>
      </w:pPr>
      <w:rPr>
        <w:rFonts w:cs="Times New Roman" w:hint="default"/>
        <w:b w:val="0"/>
      </w:rPr>
    </w:lvl>
    <w:lvl w:ilvl="2">
      <w:start w:val="1"/>
      <w:numFmt w:val="bullet"/>
      <w:suff w:val="space"/>
      <w:lvlText w:val=""/>
      <w:lvlJc w:val="left"/>
      <w:pPr>
        <w:ind w:left="2847" w:hanging="720"/>
      </w:pPr>
      <w:rPr>
        <w:rFonts w:ascii="Symbol" w:hAnsi="Symbol"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DEF4CB3"/>
    <w:multiLevelType w:val="multilevel"/>
    <w:tmpl w:val="F6525D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lvlText w:val="9.%2"/>
      <w:lvlJc w:val="left"/>
      <w:pPr>
        <w:ind w:left="1425" w:hanging="432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2">
      <w:start w:val="1"/>
      <w:numFmt w:val="decimal"/>
      <w:lvlText w:val="9.6.%3."/>
      <w:lvlJc w:val="left"/>
      <w:pPr>
        <w:ind w:left="1355" w:hanging="504"/>
      </w:pPr>
      <w:rPr>
        <w:rFonts w:eastAsia="Times New Roman" w:cs="Times New Roman"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lvlText w:val="9.6.2.%4."/>
      <w:lvlJc w:val="left"/>
      <w:pPr>
        <w:ind w:left="5043" w:hanging="648"/>
      </w:pPr>
      <w:rPr>
        <w:rFonts w:eastAsia="Times New Roman" w:cs="Times New Roman" w:hint="default"/>
        <w:b w:val="0"/>
        <w:i w:val="0"/>
        <w:strike w:val="0"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8F817CE"/>
    <w:multiLevelType w:val="hybridMultilevel"/>
    <w:tmpl w:val="7840AD34"/>
    <w:lvl w:ilvl="0" w:tplc="40822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615762"/>
    <w:multiLevelType w:val="hybridMultilevel"/>
    <w:tmpl w:val="3920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91"/>
    <w:rsid w:val="00002A13"/>
    <w:rsid w:val="00007CF1"/>
    <w:rsid w:val="0002060A"/>
    <w:rsid w:val="0002478D"/>
    <w:rsid w:val="00031B79"/>
    <w:rsid w:val="00035237"/>
    <w:rsid w:val="00043712"/>
    <w:rsid w:val="000508A4"/>
    <w:rsid w:val="000518E8"/>
    <w:rsid w:val="00051F79"/>
    <w:rsid w:val="00066570"/>
    <w:rsid w:val="00073D22"/>
    <w:rsid w:val="00074893"/>
    <w:rsid w:val="000753B0"/>
    <w:rsid w:val="000827EC"/>
    <w:rsid w:val="0008311E"/>
    <w:rsid w:val="0008345B"/>
    <w:rsid w:val="00085A91"/>
    <w:rsid w:val="00090CF7"/>
    <w:rsid w:val="000962CE"/>
    <w:rsid w:val="00096683"/>
    <w:rsid w:val="000A448F"/>
    <w:rsid w:val="000A4642"/>
    <w:rsid w:val="000A7324"/>
    <w:rsid w:val="000B0A92"/>
    <w:rsid w:val="000B4615"/>
    <w:rsid w:val="000B5D67"/>
    <w:rsid w:val="000C12CF"/>
    <w:rsid w:val="000C272A"/>
    <w:rsid w:val="000C3F72"/>
    <w:rsid w:val="000D0850"/>
    <w:rsid w:val="000E1C01"/>
    <w:rsid w:val="000E2EE7"/>
    <w:rsid w:val="000E574A"/>
    <w:rsid w:val="000E64FE"/>
    <w:rsid w:val="000E66FF"/>
    <w:rsid w:val="000F5531"/>
    <w:rsid w:val="000F559D"/>
    <w:rsid w:val="00101A9A"/>
    <w:rsid w:val="00102A93"/>
    <w:rsid w:val="001052C5"/>
    <w:rsid w:val="0010572B"/>
    <w:rsid w:val="0011166E"/>
    <w:rsid w:val="00112B5E"/>
    <w:rsid w:val="00112B79"/>
    <w:rsid w:val="0011453D"/>
    <w:rsid w:val="001256F8"/>
    <w:rsid w:val="00126B24"/>
    <w:rsid w:val="00131D63"/>
    <w:rsid w:val="0013254E"/>
    <w:rsid w:val="00133337"/>
    <w:rsid w:val="001378E2"/>
    <w:rsid w:val="00142FC5"/>
    <w:rsid w:val="001456AA"/>
    <w:rsid w:val="001523B2"/>
    <w:rsid w:val="00164851"/>
    <w:rsid w:val="0017119A"/>
    <w:rsid w:val="00173CE7"/>
    <w:rsid w:val="00175C18"/>
    <w:rsid w:val="0018291F"/>
    <w:rsid w:val="001833EE"/>
    <w:rsid w:val="00186C64"/>
    <w:rsid w:val="001874BC"/>
    <w:rsid w:val="00193BE4"/>
    <w:rsid w:val="0019568B"/>
    <w:rsid w:val="00195E09"/>
    <w:rsid w:val="001961F8"/>
    <w:rsid w:val="001A1E12"/>
    <w:rsid w:val="001A2E02"/>
    <w:rsid w:val="001B3656"/>
    <w:rsid w:val="001B4CEF"/>
    <w:rsid w:val="001B5F96"/>
    <w:rsid w:val="001B689A"/>
    <w:rsid w:val="001C25CA"/>
    <w:rsid w:val="001C513D"/>
    <w:rsid w:val="001D4B9D"/>
    <w:rsid w:val="001D4FB1"/>
    <w:rsid w:val="001E0CBA"/>
    <w:rsid w:val="001E2B55"/>
    <w:rsid w:val="001E651D"/>
    <w:rsid w:val="001F4E16"/>
    <w:rsid w:val="001F51FE"/>
    <w:rsid w:val="001F55EC"/>
    <w:rsid w:val="002010B2"/>
    <w:rsid w:val="0020139B"/>
    <w:rsid w:val="00202AB1"/>
    <w:rsid w:val="002045FF"/>
    <w:rsid w:val="00206C5D"/>
    <w:rsid w:val="00211E14"/>
    <w:rsid w:val="0021221A"/>
    <w:rsid w:val="002238C1"/>
    <w:rsid w:val="00224A31"/>
    <w:rsid w:val="002253E9"/>
    <w:rsid w:val="0022691E"/>
    <w:rsid w:val="00227CB0"/>
    <w:rsid w:val="002351FF"/>
    <w:rsid w:val="00235EBF"/>
    <w:rsid w:val="0024069A"/>
    <w:rsid w:val="00241BB6"/>
    <w:rsid w:val="00242C6D"/>
    <w:rsid w:val="00254C47"/>
    <w:rsid w:val="0026027F"/>
    <w:rsid w:val="00262F94"/>
    <w:rsid w:val="00271D9E"/>
    <w:rsid w:val="0027326B"/>
    <w:rsid w:val="002733EC"/>
    <w:rsid w:val="00276BEA"/>
    <w:rsid w:val="002838D6"/>
    <w:rsid w:val="00283E65"/>
    <w:rsid w:val="002907A7"/>
    <w:rsid w:val="00291F2C"/>
    <w:rsid w:val="0029773C"/>
    <w:rsid w:val="00297F18"/>
    <w:rsid w:val="002A31B6"/>
    <w:rsid w:val="002B11F8"/>
    <w:rsid w:val="002B3C64"/>
    <w:rsid w:val="002B462C"/>
    <w:rsid w:val="002B5904"/>
    <w:rsid w:val="002C670C"/>
    <w:rsid w:val="002C7D1F"/>
    <w:rsid w:val="002D001B"/>
    <w:rsid w:val="002D0E68"/>
    <w:rsid w:val="002D6FA1"/>
    <w:rsid w:val="002E2212"/>
    <w:rsid w:val="002E4BB8"/>
    <w:rsid w:val="002E6280"/>
    <w:rsid w:val="002E7110"/>
    <w:rsid w:val="002E7A3A"/>
    <w:rsid w:val="002E7F1E"/>
    <w:rsid w:val="002F08BC"/>
    <w:rsid w:val="002F69EC"/>
    <w:rsid w:val="002F75C6"/>
    <w:rsid w:val="0030026C"/>
    <w:rsid w:val="003038A4"/>
    <w:rsid w:val="00303D1D"/>
    <w:rsid w:val="0030471C"/>
    <w:rsid w:val="0030773F"/>
    <w:rsid w:val="00322578"/>
    <w:rsid w:val="0032405F"/>
    <w:rsid w:val="00325C40"/>
    <w:rsid w:val="00326F0B"/>
    <w:rsid w:val="003272B6"/>
    <w:rsid w:val="00333820"/>
    <w:rsid w:val="00333837"/>
    <w:rsid w:val="00333945"/>
    <w:rsid w:val="003377B4"/>
    <w:rsid w:val="0034050B"/>
    <w:rsid w:val="00347DBE"/>
    <w:rsid w:val="00347EEE"/>
    <w:rsid w:val="0035188F"/>
    <w:rsid w:val="00353EFA"/>
    <w:rsid w:val="00357397"/>
    <w:rsid w:val="00357E4B"/>
    <w:rsid w:val="0036299D"/>
    <w:rsid w:val="003660B2"/>
    <w:rsid w:val="003660CF"/>
    <w:rsid w:val="00370B36"/>
    <w:rsid w:val="003758C0"/>
    <w:rsid w:val="00377C00"/>
    <w:rsid w:val="00385B85"/>
    <w:rsid w:val="00391834"/>
    <w:rsid w:val="00392C31"/>
    <w:rsid w:val="003A1001"/>
    <w:rsid w:val="003B2CC5"/>
    <w:rsid w:val="003C2905"/>
    <w:rsid w:val="003D251B"/>
    <w:rsid w:val="003D2693"/>
    <w:rsid w:val="003D3C23"/>
    <w:rsid w:val="003D425D"/>
    <w:rsid w:val="003D5A5D"/>
    <w:rsid w:val="003D5C21"/>
    <w:rsid w:val="003E6649"/>
    <w:rsid w:val="003F0A95"/>
    <w:rsid w:val="003F2BB5"/>
    <w:rsid w:val="003F43AB"/>
    <w:rsid w:val="003F47C7"/>
    <w:rsid w:val="003F4C6A"/>
    <w:rsid w:val="003F54E2"/>
    <w:rsid w:val="004000B0"/>
    <w:rsid w:val="00406C6D"/>
    <w:rsid w:val="00412EAE"/>
    <w:rsid w:val="00416D7E"/>
    <w:rsid w:val="00417FAA"/>
    <w:rsid w:val="0042780B"/>
    <w:rsid w:val="0043001A"/>
    <w:rsid w:val="00434474"/>
    <w:rsid w:val="00434A97"/>
    <w:rsid w:val="0043719E"/>
    <w:rsid w:val="004408BB"/>
    <w:rsid w:val="0044685D"/>
    <w:rsid w:val="004507F7"/>
    <w:rsid w:val="00452BD7"/>
    <w:rsid w:val="0045489C"/>
    <w:rsid w:val="0045704B"/>
    <w:rsid w:val="00462946"/>
    <w:rsid w:val="00464298"/>
    <w:rsid w:val="00466A6D"/>
    <w:rsid w:val="0047222F"/>
    <w:rsid w:val="00476AA3"/>
    <w:rsid w:val="0048470F"/>
    <w:rsid w:val="0048573E"/>
    <w:rsid w:val="004903B4"/>
    <w:rsid w:val="004970B5"/>
    <w:rsid w:val="004A66E9"/>
    <w:rsid w:val="004B25FA"/>
    <w:rsid w:val="004B38A3"/>
    <w:rsid w:val="004B5A86"/>
    <w:rsid w:val="004B7DEF"/>
    <w:rsid w:val="004C1218"/>
    <w:rsid w:val="004C5391"/>
    <w:rsid w:val="004C5459"/>
    <w:rsid w:val="004C6E97"/>
    <w:rsid w:val="004C7862"/>
    <w:rsid w:val="004D277B"/>
    <w:rsid w:val="004D286D"/>
    <w:rsid w:val="004D3A03"/>
    <w:rsid w:val="004D4246"/>
    <w:rsid w:val="004D467E"/>
    <w:rsid w:val="004E5724"/>
    <w:rsid w:val="004F04EF"/>
    <w:rsid w:val="004F417C"/>
    <w:rsid w:val="004F6BF7"/>
    <w:rsid w:val="004F6CA7"/>
    <w:rsid w:val="0050074F"/>
    <w:rsid w:val="0050255E"/>
    <w:rsid w:val="005034CA"/>
    <w:rsid w:val="005073AD"/>
    <w:rsid w:val="005136BC"/>
    <w:rsid w:val="00514E29"/>
    <w:rsid w:val="005152CC"/>
    <w:rsid w:val="0052002C"/>
    <w:rsid w:val="00520AAA"/>
    <w:rsid w:val="00525412"/>
    <w:rsid w:val="00526C39"/>
    <w:rsid w:val="005315D6"/>
    <w:rsid w:val="005332E3"/>
    <w:rsid w:val="00546F0A"/>
    <w:rsid w:val="005518FB"/>
    <w:rsid w:val="00556D0D"/>
    <w:rsid w:val="00560FAE"/>
    <w:rsid w:val="00563B2D"/>
    <w:rsid w:val="005661F1"/>
    <w:rsid w:val="00573431"/>
    <w:rsid w:val="0058012A"/>
    <w:rsid w:val="005837CA"/>
    <w:rsid w:val="00584405"/>
    <w:rsid w:val="0058755A"/>
    <w:rsid w:val="00590407"/>
    <w:rsid w:val="005A2459"/>
    <w:rsid w:val="005A59D9"/>
    <w:rsid w:val="005A7B38"/>
    <w:rsid w:val="005B0886"/>
    <w:rsid w:val="005B1010"/>
    <w:rsid w:val="005B509C"/>
    <w:rsid w:val="005B60EE"/>
    <w:rsid w:val="005C5437"/>
    <w:rsid w:val="005C6AB2"/>
    <w:rsid w:val="005D5E11"/>
    <w:rsid w:val="00601997"/>
    <w:rsid w:val="00607425"/>
    <w:rsid w:val="006118BF"/>
    <w:rsid w:val="00611A12"/>
    <w:rsid w:val="00612825"/>
    <w:rsid w:val="0061387C"/>
    <w:rsid w:val="00614834"/>
    <w:rsid w:val="00620236"/>
    <w:rsid w:val="00627011"/>
    <w:rsid w:val="00635DB0"/>
    <w:rsid w:val="00643012"/>
    <w:rsid w:val="00643602"/>
    <w:rsid w:val="00646AB3"/>
    <w:rsid w:val="00654647"/>
    <w:rsid w:val="00657557"/>
    <w:rsid w:val="0066469C"/>
    <w:rsid w:val="00667C48"/>
    <w:rsid w:val="006712F1"/>
    <w:rsid w:val="00672373"/>
    <w:rsid w:val="00672D79"/>
    <w:rsid w:val="00675440"/>
    <w:rsid w:val="00676AA6"/>
    <w:rsid w:val="00677346"/>
    <w:rsid w:val="00680B16"/>
    <w:rsid w:val="006821FF"/>
    <w:rsid w:val="00693330"/>
    <w:rsid w:val="00695D13"/>
    <w:rsid w:val="006A1CAB"/>
    <w:rsid w:val="006A3310"/>
    <w:rsid w:val="006A560D"/>
    <w:rsid w:val="006A74A3"/>
    <w:rsid w:val="006B2D6E"/>
    <w:rsid w:val="006B462B"/>
    <w:rsid w:val="006C6292"/>
    <w:rsid w:val="006C6DB5"/>
    <w:rsid w:val="006C7F71"/>
    <w:rsid w:val="006D63A2"/>
    <w:rsid w:val="006E3A30"/>
    <w:rsid w:val="006F1B24"/>
    <w:rsid w:val="006F1D77"/>
    <w:rsid w:val="006F5651"/>
    <w:rsid w:val="006F565E"/>
    <w:rsid w:val="006F7411"/>
    <w:rsid w:val="00700D6F"/>
    <w:rsid w:val="007047CB"/>
    <w:rsid w:val="00704A1E"/>
    <w:rsid w:val="00710AB1"/>
    <w:rsid w:val="00711DCD"/>
    <w:rsid w:val="00712494"/>
    <w:rsid w:val="00712DB7"/>
    <w:rsid w:val="00714110"/>
    <w:rsid w:val="00717C01"/>
    <w:rsid w:val="00724F87"/>
    <w:rsid w:val="0073783D"/>
    <w:rsid w:val="00741478"/>
    <w:rsid w:val="00750CD5"/>
    <w:rsid w:val="00751EDE"/>
    <w:rsid w:val="00753E37"/>
    <w:rsid w:val="0075436C"/>
    <w:rsid w:val="0075593F"/>
    <w:rsid w:val="00756A96"/>
    <w:rsid w:val="007572D5"/>
    <w:rsid w:val="007628E2"/>
    <w:rsid w:val="007650B5"/>
    <w:rsid w:val="007727F0"/>
    <w:rsid w:val="00772BB6"/>
    <w:rsid w:val="007839C9"/>
    <w:rsid w:val="00790039"/>
    <w:rsid w:val="0079229C"/>
    <w:rsid w:val="0079266D"/>
    <w:rsid w:val="00792D94"/>
    <w:rsid w:val="007978D4"/>
    <w:rsid w:val="007A464F"/>
    <w:rsid w:val="007B02FA"/>
    <w:rsid w:val="007B1DCF"/>
    <w:rsid w:val="007B2E63"/>
    <w:rsid w:val="007B58C0"/>
    <w:rsid w:val="007B63BF"/>
    <w:rsid w:val="007B6865"/>
    <w:rsid w:val="007C2CEF"/>
    <w:rsid w:val="007C4A94"/>
    <w:rsid w:val="007C4A95"/>
    <w:rsid w:val="007C75FA"/>
    <w:rsid w:val="007D1A76"/>
    <w:rsid w:val="007D2187"/>
    <w:rsid w:val="007D43F3"/>
    <w:rsid w:val="007E1B9C"/>
    <w:rsid w:val="007F3C57"/>
    <w:rsid w:val="00811F1B"/>
    <w:rsid w:val="0081404A"/>
    <w:rsid w:val="00814136"/>
    <w:rsid w:val="00815840"/>
    <w:rsid w:val="00816E46"/>
    <w:rsid w:val="008216BB"/>
    <w:rsid w:val="00823F35"/>
    <w:rsid w:val="00830C6A"/>
    <w:rsid w:val="00840220"/>
    <w:rsid w:val="00841119"/>
    <w:rsid w:val="00843B0F"/>
    <w:rsid w:val="00850A2C"/>
    <w:rsid w:val="00851C60"/>
    <w:rsid w:val="0086042D"/>
    <w:rsid w:val="00861BC0"/>
    <w:rsid w:val="008622D8"/>
    <w:rsid w:val="00863BC4"/>
    <w:rsid w:val="00866A47"/>
    <w:rsid w:val="00870FC2"/>
    <w:rsid w:val="0087622A"/>
    <w:rsid w:val="0088039A"/>
    <w:rsid w:val="00885ADD"/>
    <w:rsid w:val="00887B90"/>
    <w:rsid w:val="00894CA1"/>
    <w:rsid w:val="00897B0D"/>
    <w:rsid w:val="008A3489"/>
    <w:rsid w:val="008A4A29"/>
    <w:rsid w:val="008A5846"/>
    <w:rsid w:val="008A608E"/>
    <w:rsid w:val="008A615D"/>
    <w:rsid w:val="008A6D59"/>
    <w:rsid w:val="008B1D29"/>
    <w:rsid w:val="008B51C0"/>
    <w:rsid w:val="008B745A"/>
    <w:rsid w:val="008C2CC1"/>
    <w:rsid w:val="008C69FC"/>
    <w:rsid w:val="008D1C85"/>
    <w:rsid w:val="008D64BA"/>
    <w:rsid w:val="008D6C1E"/>
    <w:rsid w:val="008E0E3A"/>
    <w:rsid w:val="008E0FE2"/>
    <w:rsid w:val="008E5F15"/>
    <w:rsid w:val="008F1C55"/>
    <w:rsid w:val="009016C1"/>
    <w:rsid w:val="009028C5"/>
    <w:rsid w:val="00903B16"/>
    <w:rsid w:val="00904F98"/>
    <w:rsid w:val="00910DC8"/>
    <w:rsid w:val="00910E39"/>
    <w:rsid w:val="00912E27"/>
    <w:rsid w:val="00914B3C"/>
    <w:rsid w:val="0091730D"/>
    <w:rsid w:val="00917445"/>
    <w:rsid w:val="00917F89"/>
    <w:rsid w:val="00920068"/>
    <w:rsid w:val="009200FD"/>
    <w:rsid w:val="00923A89"/>
    <w:rsid w:val="00925937"/>
    <w:rsid w:val="00926E08"/>
    <w:rsid w:val="0094081A"/>
    <w:rsid w:val="00940E36"/>
    <w:rsid w:val="00940ECE"/>
    <w:rsid w:val="00942A7C"/>
    <w:rsid w:val="009456D7"/>
    <w:rsid w:val="0094609A"/>
    <w:rsid w:val="00951387"/>
    <w:rsid w:val="00952BBE"/>
    <w:rsid w:val="0095346F"/>
    <w:rsid w:val="0095410D"/>
    <w:rsid w:val="009610BF"/>
    <w:rsid w:val="00962BC8"/>
    <w:rsid w:val="0096336E"/>
    <w:rsid w:val="00964C59"/>
    <w:rsid w:val="00965BEA"/>
    <w:rsid w:val="00976ADB"/>
    <w:rsid w:val="00977428"/>
    <w:rsid w:val="009778D3"/>
    <w:rsid w:val="00980767"/>
    <w:rsid w:val="00983CDA"/>
    <w:rsid w:val="009849BD"/>
    <w:rsid w:val="00984BA0"/>
    <w:rsid w:val="00986A2F"/>
    <w:rsid w:val="0099149C"/>
    <w:rsid w:val="00997418"/>
    <w:rsid w:val="009B2184"/>
    <w:rsid w:val="009B2230"/>
    <w:rsid w:val="009B4860"/>
    <w:rsid w:val="009B5268"/>
    <w:rsid w:val="009B7CAB"/>
    <w:rsid w:val="009C17E7"/>
    <w:rsid w:val="009C20E5"/>
    <w:rsid w:val="009C3A4C"/>
    <w:rsid w:val="009D44FC"/>
    <w:rsid w:val="009E163A"/>
    <w:rsid w:val="009F13EA"/>
    <w:rsid w:val="00A02185"/>
    <w:rsid w:val="00A022D9"/>
    <w:rsid w:val="00A10579"/>
    <w:rsid w:val="00A1587C"/>
    <w:rsid w:val="00A24396"/>
    <w:rsid w:val="00A25DF3"/>
    <w:rsid w:val="00A25EC5"/>
    <w:rsid w:val="00A26D9B"/>
    <w:rsid w:val="00A3038D"/>
    <w:rsid w:val="00A34F50"/>
    <w:rsid w:val="00A44D4E"/>
    <w:rsid w:val="00A458D5"/>
    <w:rsid w:val="00A51417"/>
    <w:rsid w:val="00A52C2F"/>
    <w:rsid w:val="00A55E2D"/>
    <w:rsid w:val="00A56097"/>
    <w:rsid w:val="00A56A10"/>
    <w:rsid w:val="00A61A97"/>
    <w:rsid w:val="00A64CA5"/>
    <w:rsid w:val="00A652D9"/>
    <w:rsid w:val="00A65AC9"/>
    <w:rsid w:val="00A67162"/>
    <w:rsid w:val="00A80A14"/>
    <w:rsid w:val="00A8102A"/>
    <w:rsid w:val="00A837E1"/>
    <w:rsid w:val="00A85B87"/>
    <w:rsid w:val="00A9136F"/>
    <w:rsid w:val="00AA26EA"/>
    <w:rsid w:val="00AB03EA"/>
    <w:rsid w:val="00AB12C5"/>
    <w:rsid w:val="00AB456C"/>
    <w:rsid w:val="00AC20F6"/>
    <w:rsid w:val="00AC2B4C"/>
    <w:rsid w:val="00AC4EF5"/>
    <w:rsid w:val="00AD10AF"/>
    <w:rsid w:val="00AD1B96"/>
    <w:rsid w:val="00AD3385"/>
    <w:rsid w:val="00AD5AF3"/>
    <w:rsid w:val="00AE3D66"/>
    <w:rsid w:val="00AF5331"/>
    <w:rsid w:val="00B00B15"/>
    <w:rsid w:val="00B00DAE"/>
    <w:rsid w:val="00B04BB4"/>
    <w:rsid w:val="00B16249"/>
    <w:rsid w:val="00B2261C"/>
    <w:rsid w:val="00B230D8"/>
    <w:rsid w:val="00B25538"/>
    <w:rsid w:val="00B31E60"/>
    <w:rsid w:val="00B3299E"/>
    <w:rsid w:val="00B34F11"/>
    <w:rsid w:val="00B416C2"/>
    <w:rsid w:val="00B44ADF"/>
    <w:rsid w:val="00B4553A"/>
    <w:rsid w:val="00B51DB4"/>
    <w:rsid w:val="00B52290"/>
    <w:rsid w:val="00B52F24"/>
    <w:rsid w:val="00B6005E"/>
    <w:rsid w:val="00B7200D"/>
    <w:rsid w:val="00B728AE"/>
    <w:rsid w:val="00B72C45"/>
    <w:rsid w:val="00B750AE"/>
    <w:rsid w:val="00B83AA6"/>
    <w:rsid w:val="00B846D8"/>
    <w:rsid w:val="00B85291"/>
    <w:rsid w:val="00B855FD"/>
    <w:rsid w:val="00B92BA1"/>
    <w:rsid w:val="00B941FF"/>
    <w:rsid w:val="00B94260"/>
    <w:rsid w:val="00B970C6"/>
    <w:rsid w:val="00BA24C8"/>
    <w:rsid w:val="00BA6086"/>
    <w:rsid w:val="00BA6E78"/>
    <w:rsid w:val="00BB0DEA"/>
    <w:rsid w:val="00BB378F"/>
    <w:rsid w:val="00BB510C"/>
    <w:rsid w:val="00BC18D8"/>
    <w:rsid w:val="00BC26E1"/>
    <w:rsid w:val="00BC3FBE"/>
    <w:rsid w:val="00BD030C"/>
    <w:rsid w:val="00BD2555"/>
    <w:rsid w:val="00BD78EE"/>
    <w:rsid w:val="00BE69F6"/>
    <w:rsid w:val="00BE6E22"/>
    <w:rsid w:val="00BE7463"/>
    <w:rsid w:val="00BF15B5"/>
    <w:rsid w:val="00BF7734"/>
    <w:rsid w:val="00C176AF"/>
    <w:rsid w:val="00C20851"/>
    <w:rsid w:val="00C20F8A"/>
    <w:rsid w:val="00C223B4"/>
    <w:rsid w:val="00C250FA"/>
    <w:rsid w:val="00C300A9"/>
    <w:rsid w:val="00C3739F"/>
    <w:rsid w:val="00C438B7"/>
    <w:rsid w:val="00C4449A"/>
    <w:rsid w:val="00C44BCC"/>
    <w:rsid w:val="00C46083"/>
    <w:rsid w:val="00C464DA"/>
    <w:rsid w:val="00C53942"/>
    <w:rsid w:val="00C54161"/>
    <w:rsid w:val="00C54AAE"/>
    <w:rsid w:val="00C54EA8"/>
    <w:rsid w:val="00C636B5"/>
    <w:rsid w:val="00C6424E"/>
    <w:rsid w:val="00C70A72"/>
    <w:rsid w:val="00C73537"/>
    <w:rsid w:val="00C7660E"/>
    <w:rsid w:val="00C863E5"/>
    <w:rsid w:val="00C92F23"/>
    <w:rsid w:val="00C9376C"/>
    <w:rsid w:val="00CA743A"/>
    <w:rsid w:val="00CB03BC"/>
    <w:rsid w:val="00CB1A68"/>
    <w:rsid w:val="00CC0ECE"/>
    <w:rsid w:val="00CC4A3C"/>
    <w:rsid w:val="00CC71F5"/>
    <w:rsid w:val="00CD57EE"/>
    <w:rsid w:val="00CD5CF3"/>
    <w:rsid w:val="00CE0BFF"/>
    <w:rsid w:val="00CE6ABC"/>
    <w:rsid w:val="00CF20CF"/>
    <w:rsid w:val="00CF351D"/>
    <w:rsid w:val="00CF35E7"/>
    <w:rsid w:val="00D042E7"/>
    <w:rsid w:val="00D06C69"/>
    <w:rsid w:val="00D1503E"/>
    <w:rsid w:val="00D20FAD"/>
    <w:rsid w:val="00D24DE1"/>
    <w:rsid w:val="00D26819"/>
    <w:rsid w:val="00D26C3C"/>
    <w:rsid w:val="00D273B1"/>
    <w:rsid w:val="00D30DF9"/>
    <w:rsid w:val="00D36481"/>
    <w:rsid w:val="00D36FDF"/>
    <w:rsid w:val="00D37C61"/>
    <w:rsid w:val="00D466B7"/>
    <w:rsid w:val="00D52EC2"/>
    <w:rsid w:val="00D56352"/>
    <w:rsid w:val="00D63FFF"/>
    <w:rsid w:val="00D71BEB"/>
    <w:rsid w:val="00D74FB5"/>
    <w:rsid w:val="00D76101"/>
    <w:rsid w:val="00D7651D"/>
    <w:rsid w:val="00D8026B"/>
    <w:rsid w:val="00D83BB9"/>
    <w:rsid w:val="00D85541"/>
    <w:rsid w:val="00D87E54"/>
    <w:rsid w:val="00D90103"/>
    <w:rsid w:val="00D92987"/>
    <w:rsid w:val="00D95A6A"/>
    <w:rsid w:val="00DA1457"/>
    <w:rsid w:val="00DA6EFA"/>
    <w:rsid w:val="00DB41EB"/>
    <w:rsid w:val="00DB5A13"/>
    <w:rsid w:val="00DB5B94"/>
    <w:rsid w:val="00DC43C6"/>
    <w:rsid w:val="00DC44F7"/>
    <w:rsid w:val="00DC52EC"/>
    <w:rsid w:val="00DE07CF"/>
    <w:rsid w:val="00DE11B6"/>
    <w:rsid w:val="00DF49F9"/>
    <w:rsid w:val="00DF5727"/>
    <w:rsid w:val="00E0003B"/>
    <w:rsid w:val="00E01CFE"/>
    <w:rsid w:val="00E07D51"/>
    <w:rsid w:val="00E1577C"/>
    <w:rsid w:val="00E164DB"/>
    <w:rsid w:val="00E24CDF"/>
    <w:rsid w:val="00E30E8F"/>
    <w:rsid w:val="00E33D73"/>
    <w:rsid w:val="00E35229"/>
    <w:rsid w:val="00E368E0"/>
    <w:rsid w:val="00E37CC0"/>
    <w:rsid w:val="00E41E76"/>
    <w:rsid w:val="00E46150"/>
    <w:rsid w:val="00E46B42"/>
    <w:rsid w:val="00E46D89"/>
    <w:rsid w:val="00E479E8"/>
    <w:rsid w:val="00E519E0"/>
    <w:rsid w:val="00E52917"/>
    <w:rsid w:val="00E530C0"/>
    <w:rsid w:val="00E53927"/>
    <w:rsid w:val="00E54A25"/>
    <w:rsid w:val="00E5557B"/>
    <w:rsid w:val="00E55840"/>
    <w:rsid w:val="00E56ADC"/>
    <w:rsid w:val="00E63588"/>
    <w:rsid w:val="00E64C0C"/>
    <w:rsid w:val="00E653BE"/>
    <w:rsid w:val="00E657C0"/>
    <w:rsid w:val="00E771C4"/>
    <w:rsid w:val="00E77778"/>
    <w:rsid w:val="00E81279"/>
    <w:rsid w:val="00E83A51"/>
    <w:rsid w:val="00E87362"/>
    <w:rsid w:val="00E9059D"/>
    <w:rsid w:val="00E923BB"/>
    <w:rsid w:val="00E970A4"/>
    <w:rsid w:val="00EA269B"/>
    <w:rsid w:val="00EA395E"/>
    <w:rsid w:val="00EA77AC"/>
    <w:rsid w:val="00EC01CC"/>
    <w:rsid w:val="00EC383A"/>
    <w:rsid w:val="00ED2B54"/>
    <w:rsid w:val="00ED60C1"/>
    <w:rsid w:val="00ED7C91"/>
    <w:rsid w:val="00EE3399"/>
    <w:rsid w:val="00EE49F4"/>
    <w:rsid w:val="00EF1ECC"/>
    <w:rsid w:val="00EF320C"/>
    <w:rsid w:val="00EF3232"/>
    <w:rsid w:val="00F1180B"/>
    <w:rsid w:val="00F11EE4"/>
    <w:rsid w:val="00F17DE4"/>
    <w:rsid w:val="00F329DD"/>
    <w:rsid w:val="00F46931"/>
    <w:rsid w:val="00F47A81"/>
    <w:rsid w:val="00F47C8B"/>
    <w:rsid w:val="00F50B2F"/>
    <w:rsid w:val="00F5133C"/>
    <w:rsid w:val="00F5390F"/>
    <w:rsid w:val="00F56218"/>
    <w:rsid w:val="00F60CC7"/>
    <w:rsid w:val="00F75BC4"/>
    <w:rsid w:val="00F7606B"/>
    <w:rsid w:val="00F82CF6"/>
    <w:rsid w:val="00F92CA4"/>
    <w:rsid w:val="00F96E48"/>
    <w:rsid w:val="00FA0D5D"/>
    <w:rsid w:val="00FA3A36"/>
    <w:rsid w:val="00FB1745"/>
    <w:rsid w:val="00FB2682"/>
    <w:rsid w:val="00FB57C7"/>
    <w:rsid w:val="00FC0C64"/>
    <w:rsid w:val="00FD04AC"/>
    <w:rsid w:val="00FD20DA"/>
    <w:rsid w:val="00FD24AF"/>
    <w:rsid w:val="00FD314F"/>
    <w:rsid w:val="00FD7182"/>
    <w:rsid w:val="00FE3E3E"/>
    <w:rsid w:val="00FE5C55"/>
    <w:rsid w:val="00FE61F9"/>
    <w:rsid w:val="00FF16C2"/>
    <w:rsid w:val="00FF1BA8"/>
    <w:rsid w:val="00FF3A4B"/>
    <w:rsid w:val="00FF4471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4C46"/>
  <w15:docId w15:val="{AD3565D8-2FAD-44DC-BF6B-AC4D7E3C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BB6"/>
  </w:style>
  <w:style w:type="paragraph" w:styleId="Heading1">
    <w:name w:val="heading 1"/>
    <w:basedOn w:val="Normal"/>
    <w:next w:val="Normal"/>
    <w:link w:val="Heading1Char"/>
    <w:uiPriority w:val="9"/>
    <w:qFormat/>
    <w:rsid w:val="00074893"/>
    <w:pPr>
      <w:keepNext/>
      <w:keepLines/>
      <w:jc w:val="center"/>
      <w:outlineLvl w:val="0"/>
    </w:pPr>
    <w:rPr>
      <w:rFonts w:eastAsiaTheme="majorEastAsia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893"/>
    <w:rPr>
      <w:rFonts w:eastAsiaTheme="majorEastAsia"/>
      <w:b/>
      <w:sz w:val="26"/>
      <w:szCs w:val="26"/>
    </w:rPr>
  </w:style>
  <w:style w:type="table" w:styleId="TableGrid">
    <w:name w:val="Table Grid"/>
    <w:aliases w:val="Сетка таблицы777,Текст в таблице,Обычная таблица со сеткой 10,MA Table"/>
    <w:basedOn w:val="TableNormal"/>
    <w:uiPriority w:val="39"/>
    <w:rsid w:val="00753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E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E3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Абзац списка крупного,Основной Текст,Нумерованый список"/>
    <w:basedOn w:val="Normal"/>
    <w:link w:val="ListParagraphChar"/>
    <w:uiPriority w:val="34"/>
    <w:qFormat/>
    <w:rsid w:val="00EF3232"/>
    <w:pPr>
      <w:ind w:left="720"/>
      <w:contextualSpacing/>
    </w:pPr>
  </w:style>
  <w:style w:type="character" w:customStyle="1" w:styleId="ListParagraphChar">
    <w:name w:val="List Paragraph Char"/>
    <w:aliases w:val="Абзац маркированнный Char,UL Char,Шаг процесса Char,Table-Normal Char,RSHB_Table-Normal Char,Предусловия Char,Bullet List Char,FooterText Char,numbered Char,Bullet Number Char,Индексы Char,Num Bullet 1 Char,Indention_list Char,1 Char"/>
    <w:basedOn w:val="DefaultParagraphFont"/>
    <w:link w:val="ListParagraph"/>
    <w:uiPriority w:val="34"/>
    <w:qFormat/>
    <w:locked/>
    <w:rsid w:val="00325C40"/>
  </w:style>
  <w:style w:type="paragraph" w:styleId="Header">
    <w:name w:val="header"/>
    <w:aliases w:val=" Знак Знак, Знак,Знак Знак,Знак"/>
    <w:basedOn w:val="Normal"/>
    <w:link w:val="HeaderChar"/>
    <w:uiPriority w:val="99"/>
    <w:rsid w:val="00377C00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HeaderChar">
    <w:name w:val="Header Char"/>
    <w:aliases w:val=" Знак Знак Char, Знак Char,Знак Знак Char,Знак Char"/>
    <w:basedOn w:val="DefaultParagraphFont"/>
    <w:link w:val="Header"/>
    <w:uiPriority w:val="99"/>
    <w:rsid w:val="00377C00"/>
    <w:rPr>
      <w:rFonts w:eastAsia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377C0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77C0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60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60A"/>
  </w:style>
  <w:style w:type="character" w:styleId="CommentReference">
    <w:name w:val="annotation reference"/>
    <w:basedOn w:val="DefaultParagraphFont"/>
    <w:uiPriority w:val="99"/>
    <w:semiHidden/>
    <w:unhideWhenUsed/>
    <w:rsid w:val="009C3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A4C"/>
  </w:style>
  <w:style w:type="character" w:customStyle="1" w:styleId="CommentTextChar">
    <w:name w:val="Comment Text Char"/>
    <w:basedOn w:val="DefaultParagraphFont"/>
    <w:link w:val="CommentText"/>
    <w:uiPriority w:val="99"/>
    <w:rsid w:val="009C3A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4C"/>
    <w:rPr>
      <w:b/>
      <w:bCs/>
    </w:rPr>
  </w:style>
  <w:style w:type="paragraph" w:styleId="Revision">
    <w:name w:val="Revision"/>
    <w:hidden/>
    <w:uiPriority w:val="99"/>
    <w:semiHidden/>
    <w:rsid w:val="0079266D"/>
  </w:style>
  <w:style w:type="paragraph" w:styleId="BodyText">
    <w:name w:val="Body Text"/>
    <w:basedOn w:val="Normal"/>
    <w:link w:val="BodyTextChar"/>
    <w:rsid w:val="00712494"/>
    <w:rPr>
      <w:rFonts w:eastAsia="Times New Roman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712494"/>
    <w:rPr>
      <w:rFonts w:eastAsia="Times New Roman"/>
      <w:sz w:val="28"/>
      <w:lang w:eastAsia="ru-RU"/>
    </w:rPr>
  </w:style>
  <w:style w:type="paragraph" w:styleId="BodyTextIndent">
    <w:name w:val="Body Text Indent"/>
    <w:basedOn w:val="Normal"/>
    <w:link w:val="BodyTextIndentChar"/>
    <w:rsid w:val="00712494"/>
    <w:pPr>
      <w:ind w:left="284" w:hanging="284"/>
    </w:pPr>
    <w:rPr>
      <w:rFonts w:eastAsia="Times New Roman"/>
      <w:sz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712494"/>
    <w:rPr>
      <w:rFonts w:eastAsia="Times New Roman"/>
      <w:sz w:val="28"/>
      <w:lang w:eastAsia="ru-RU"/>
    </w:rPr>
  </w:style>
  <w:style w:type="paragraph" w:styleId="NoSpacing">
    <w:name w:val="No Spacing"/>
    <w:uiPriority w:val="1"/>
    <w:qFormat/>
    <w:rsid w:val="0041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4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9D43-C4EE-49C9-BF93-5BFB6D43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3140</Words>
  <Characters>17901</Characters>
  <Application>Microsoft Office Word</Application>
  <DocSecurity>0</DocSecurity>
  <Lines>149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ОАО "СПбАЭП"</Company>
  <LinksUpToDate>false</LinksUpToDate>
  <CharactersWithSpaces>21000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Kostylev</dc:creator>
  <cp:lastModifiedBy>Keta aleksimeskhishvili</cp:lastModifiedBy>
  <cp:revision>2</cp:revision>
  <cp:lastPrinted>2026-04-15T10:16:00Z</cp:lastPrinted>
  <dcterms:created xsi:type="dcterms:W3CDTF">2026-05-04T10:27:00Z</dcterms:created>
  <dcterms:modified xsi:type="dcterms:W3CDTF">2026-05-04T10:27:00Z</dcterms:modified>
</cp:coreProperties>
</file>