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C7174" w14:textId="77777777" w:rsidR="00654CAA" w:rsidRPr="00DA2DAB" w:rsidRDefault="00654CAA" w:rsidP="00654CAA">
      <w:pPr>
        <w:rPr>
          <w:rFonts w:asciiTheme="majorHAnsi" w:hAnsiTheme="majorHAnsi" w:cstheme="majorHAnsi"/>
          <w:sz w:val="24"/>
          <w:szCs w:val="24"/>
        </w:rPr>
      </w:pPr>
      <w:bookmarkStart w:id="0" w:name="_Hlk214895271"/>
    </w:p>
    <w:bookmarkEnd w:id="0"/>
    <w:p w14:paraId="4C912713" w14:textId="77777777" w:rsidR="00364D57" w:rsidRPr="00364D57" w:rsidRDefault="00364D57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სატენდერო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განაცხადი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–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სასაწყობე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თაროების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შესყიდვა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მონტაჟი</w:t>
      </w:r>
    </w:p>
    <w:p w14:paraId="7794EDA0" w14:textId="77777777" w:rsidR="00364D57" w:rsidRPr="00364D57" w:rsidRDefault="00364D57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შპს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„</w:t>
      </w:r>
      <w:r w:rsidRPr="00364D57">
        <w:rPr>
          <w:rFonts w:ascii="Sylfaen" w:hAnsi="Sylfaen" w:cs="Sylfaen"/>
          <w:sz w:val="24"/>
          <w:szCs w:val="24"/>
          <w:lang w:val="en-US"/>
        </w:rPr>
        <w:t>ალტრიქს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ლოჯისტიკა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“ </w:t>
      </w:r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შპს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„</w:t>
      </w:r>
      <w:r w:rsidRPr="00364D57">
        <w:rPr>
          <w:rFonts w:ascii="Sylfaen" w:hAnsi="Sylfaen" w:cs="Sylfaen"/>
          <w:sz w:val="24"/>
          <w:szCs w:val="24"/>
          <w:lang w:val="en-US"/>
        </w:rPr>
        <w:t>ალტატრა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“ </w:t>
      </w:r>
      <w:r w:rsidRPr="00364D57">
        <w:rPr>
          <w:rFonts w:ascii="Sylfaen" w:hAnsi="Sylfaen" w:cs="Sylfaen"/>
          <w:sz w:val="24"/>
          <w:szCs w:val="24"/>
          <w:lang w:val="en-US"/>
        </w:rPr>
        <w:t>აცხადებენ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ტენდერს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სასაწყობე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თაროების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შესყიდვისა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მონტაჟის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მომსახურების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განხორციელებაზე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276CF848" w14:textId="77777777" w:rsidR="00364D57" w:rsidRPr="00364D57" w:rsidRDefault="009F6A0F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9F6A0F">
        <w:rPr>
          <w:rFonts w:asciiTheme="majorHAnsi" w:hAnsiTheme="majorHAnsi" w:cstheme="majorHAnsi"/>
          <w:noProof/>
          <w:sz w:val="24"/>
          <w:szCs w:val="24"/>
          <w:lang w:val="en-US"/>
        </w:rPr>
        <w:pict w14:anchorId="449CCAFC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1A7D9E07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ტენდერის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საგანი</w:t>
      </w:r>
    </w:p>
    <w:p w14:paraId="6085FA80" w14:textId="44FB9C2C" w:rsidR="00471B86" w:rsidRPr="00487224" w:rsidRDefault="00364D57" w:rsidP="00364D57">
      <w:pPr>
        <w:rPr>
          <w:rFonts w:ascii="Sylfaen" w:hAnsi="Sylfaen" w:cstheme="majorHAnsi"/>
          <w:sz w:val="24"/>
          <w:szCs w:val="24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საწყობისათვის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სასაწყობე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თაროების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მიწოდება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შესაბამისი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მონტაჟის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სამუშაოების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შესრულება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471B86">
        <w:rPr>
          <w:rFonts w:asciiTheme="majorHAnsi" w:hAnsiTheme="majorHAnsi" w:cstheme="majorHAnsi"/>
          <w:sz w:val="24"/>
          <w:szCs w:val="24"/>
          <w:lang w:val="en-US"/>
        </w:rPr>
        <w:br/>
      </w:r>
      <w:r w:rsidR="00471B86" w:rsidRPr="00487224">
        <w:rPr>
          <w:rFonts w:ascii="Sylfaen" w:hAnsi="Sylfaen" w:cstheme="majorHAnsi"/>
          <w:b/>
          <w:bCs/>
          <w:sz w:val="24"/>
          <w:szCs w:val="24"/>
          <w:lang w:val="en-US"/>
        </w:rPr>
        <w:t xml:space="preserve">ჯამური რაოდენობა: </w:t>
      </w:r>
      <w:r w:rsidR="00487224" w:rsidRPr="00487224">
        <w:rPr>
          <w:rFonts w:ascii="Sylfaen" w:hAnsi="Sylfaen" w:cstheme="majorHAnsi"/>
          <w:b/>
          <w:bCs/>
          <w:sz w:val="24"/>
          <w:szCs w:val="24"/>
          <w:lang w:val="en-US"/>
        </w:rPr>
        <w:t xml:space="preserve">12 432 </w:t>
      </w:r>
      <w:r w:rsidR="00487224" w:rsidRPr="00487224">
        <w:rPr>
          <w:rFonts w:ascii="Sylfaen" w:hAnsi="Sylfaen" w:cstheme="majorHAnsi"/>
          <w:b/>
          <w:bCs/>
          <w:sz w:val="24"/>
          <w:szCs w:val="24"/>
        </w:rPr>
        <w:t>პალეტის ადგილი.</w:t>
      </w:r>
      <w:r w:rsidR="00487224">
        <w:rPr>
          <w:rFonts w:ascii="Sylfaen" w:hAnsi="Sylfaen" w:cstheme="majorHAnsi"/>
          <w:sz w:val="24"/>
          <w:szCs w:val="24"/>
        </w:rPr>
        <w:t xml:space="preserve"> </w:t>
      </w:r>
    </w:p>
    <w:p w14:paraId="783116E7" w14:textId="77777777" w:rsidR="00471B86" w:rsidRPr="00471B86" w:rsidRDefault="00471B86" w:rsidP="00471B86">
      <w:pPr>
        <w:pStyle w:val="ListParagraph"/>
        <w:numPr>
          <w:ilvl w:val="0"/>
          <w:numId w:val="20"/>
        </w:numPr>
        <w:rPr>
          <w:rFonts w:ascii="Sylfaen" w:hAnsi="Sylfaen" w:cstheme="majorHAnsi"/>
          <w:sz w:val="24"/>
          <w:szCs w:val="24"/>
        </w:rPr>
      </w:pPr>
      <w:r w:rsidRPr="00471B86">
        <w:rPr>
          <w:rFonts w:asciiTheme="majorHAnsi" w:hAnsiTheme="majorHAnsi" w:cstheme="majorHAnsi"/>
          <w:sz w:val="24"/>
          <w:szCs w:val="24"/>
        </w:rPr>
        <w:t xml:space="preserve">6 </w:t>
      </w:r>
      <w:r w:rsidRPr="00471B86">
        <w:rPr>
          <w:rFonts w:cstheme="majorHAnsi"/>
          <w:sz w:val="24"/>
          <w:szCs w:val="24"/>
        </w:rPr>
        <w:t>სართულიანი - 4 046 პალეტის ადგილი</w:t>
      </w:r>
    </w:p>
    <w:p w14:paraId="446F04B4" w14:textId="6F365F4B" w:rsidR="00471B86" w:rsidRPr="00471B86" w:rsidRDefault="00471B86" w:rsidP="00471B86">
      <w:pPr>
        <w:pStyle w:val="ListParagraph"/>
        <w:numPr>
          <w:ilvl w:val="0"/>
          <w:numId w:val="20"/>
        </w:numPr>
        <w:rPr>
          <w:rFonts w:ascii="Sylfaen" w:hAnsi="Sylfaen" w:cstheme="majorHAnsi"/>
          <w:sz w:val="24"/>
          <w:szCs w:val="24"/>
        </w:rPr>
      </w:pPr>
      <w:r w:rsidRPr="00471B86">
        <w:rPr>
          <w:rFonts w:cstheme="majorHAnsi"/>
          <w:sz w:val="24"/>
          <w:szCs w:val="24"/>
        </w:rPr>
        <w:t xml:space="preserve">5 სართულიანი </w:t>
      </w:r>
      <w:r>
        <w:rPr>
          <w:rFonts w:cstheme="majorHAnsi"/>
          <w:sz w:val="24"/>
          <w:szCs w:val="24"/>
        </w:rPr>
        <w:t xml:space="preserve">- </w:t>
      </w:r>
      <w:r w:rsidRPr="00471B86">
        <w:rPr>
          <w:rFonts w:cstheme="majorHAnsi"/>
          <w:sz w:val="24"/>
          <w:szCs w:val="24"/>
        </w:rPr>
        <w:t>7 056 პალეტის ადგილი</w:t>
      </w:r>
    </w:p>
    <w:p w14:paraId="60242B0A" w14:textId="5E58A0F1" w:rsidR="00364D57" w:rsidRPr="00471B86" w:rsidRDefault="00471B86" w:rsidP="00471B86">
      <w:pPr>
        <w:pStyle w:val="ListParagraph"/>
        <w:numPr>
          <w:ilvl w:val="0"/>
          <w:numId w:val="20"/>
        </w:numPr>
        <w:rPr>
          <w:rFonts w:ascii="Sylfaen" w:hAnsi="Sylfaen" w:cstheme="majorHAnsi"/>
          <w:sz w:val="24"/>
          <w:szCs w:val="24"/>
        </w:rPr>
      </w:pPr>
      <w:r w:rsidRPr="00471B86">
        <w:rPr>
          <w:rFonts w:cstheme="majorHAnsi"/>
          <w:sz w:val="24"/>
          <w:szCs w:val="24"/>
        </w:rPr>
        <w:t>4 სართულიანი</w:t>
      </w:r>
      <w:r>
        <w:rPr>
          <w:rFonts w:cstheme="majorHAnsi"/>
          <w:sz w:val="24"/>
          <w:szCs w:val="24"/>
        </w:rPr>
        <w:t xml:space="preserve"> -</w:t>
      </w:r>
      <w:r w:rsidRPr="00471B86">
        <w:rPr>
          <w:rFonts w:cstheme="majorHAnsi"/>
          <w:sz w:val="24"/>
          <w:szCs w:val="24"/>
        </w:rPr>
        <w:t xml:space="preserve"> 1 330 პალეტის ადგილი</w:t>
      </w:r>
    </w:p>
    <w:p w14:paraId="6693F6D2" w14:textId="77777777" w:rsidR="00364D57" w:rsidRPr="00364D57" w:rsidRDefault="009F6A0F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9F6A0F">
        <w:rPr>
          <w:rFonts w:asciiTheme="majorHAnsi" w:hAnsiTheme="majorHAnsi" w:cstheme="majorHAnsi"/>
          <w:noProof/>
          <w:sz w:val="24"/>
          <w:szCs w:val="24"/>
          <w:lang w:val="en-US"/>
        </w:rPr>
        <w:pict w14:anchorId="4E23FAE4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570CE79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მოსაწოდებელი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მასალები</w:t>
      </w:r>
    </w:p>
    <w:p w14:paraId="63ADDF48" w14:textId="77777777" w:rsidR="00364D57" w:rsidRPr="00364D57" w:rsidRDefault="00364D57" w:rsidP="00364D57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საწყობი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№1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– </w:t>
      </w:r>
      <w:r w:rsidRPr="00364D57">
        <w:rPr>
          <w:rFonts w:ascii="Sylfaen" w:hAnsi="Sylfaen" w:cs="Sylfaen"/>
          <w:sz w:val="24"/>
          <w:szCs w:val="24"/>
          <w:lang w:val="en-US"/>
        </w:rPr>
        <w:t>დეტალური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სპეციფიკაცია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წარმოდგენილია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თანდართული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Excel </w:t>
      </w:r>
      <w:r w:rsidRPr="00364D57">
        <w:rPr>
          <w:rFonts w:ascii="Sylfaen" w:hAnsi="Sylfaen" w:cs="Sylfaen"/>
          <w:sz w:val="24"/>
          <w:szCs w:val="24"/>
          <w:lang w:val="en-US"/>
        </w:rPr>
        <w:t>ფაილის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სახით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205BB981" w14:textId="77777777" w:rsidR="00364D57" w:rsidRPr="00364D57" w:rsidRDefault="00364D57" w:rsidP="00364D57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საწყობი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№2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– </w:t>
      </w:r>
      <w:r w:rsidRPr="00364D57">
        <w:rPr>
          <w:rFonts w:ascii="Sylfaen" w:hAnsi="Sylfaen" w:cs="Sylfaen"/>
          <w:sz w:val="24"/>
          <w:szCs w:val="24"/>
          <w:lang w:val="en-US"/>
        </w:rPr>
        <w:t>დეტალური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სპეციფიკაცია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წარმოდგენილია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თანდართული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Excel </w:t>
      </w:r>
      <w:r w:rsidRPr="00364D57">
        <w:rPr>
          <w:rFonts w:ascii="Sylfaen" w:hAnsi="Sylfaen" w:cs="Sylfaen"/>
          <w:sz w:val="24"/>
          <w:szCs w:val="24"/>
          <w:lang w:val="en-US"/>
        </w:rPr>
        <w:t>ფაილის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სახით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79E8565D" w14:textId="77777777" w:rsidR="00364D57" w:rsidRPr="00364D57" w:rsidRDefault="009F6A0F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9F6A0F">
        <w:rPr>
          <w:rFonts w:asciiTheme="majorHAnsi" w:hAnsiTheme="majorHAnsi" w:cstheme="majorHAnsi"/>
          <w:noProof/>
          <w:sz w:val="24"/>
          <w:szCs w:val="24"/>
          <w:lang w:val="en-US"/>
        </w:rPr>
        <w:pict w14:anchorId="555CD26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1461915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სასაწყობე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თაროების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განლაგება</w:t>
      </w:r>
    </w:p>
    <w:p w14:paraId="593D18AA" w14:textId="5B7E0A62" w:rsidR="00364D57" w:rsidRPr="00364D57" w:rsidRDefault="00364D57" w:rsidP="00364D57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WH Layout 1 </w:t>
      </w:r>
    </w:p>
    <w:p w14:paraId="17E80A07" w14:textId="0D6125C0" w:rsidR="00364D57" w:rsidRPr="00364D57" w:rsidRDefault="00364D57" w:rsidP="00364D57">
      <w:pPr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WH Layout 2 </w:t>
      </w:r>
    </w:p>
    <w:p w14:paraId="3BD560F8" w14:textId="77777777" w:rsidR="00364D57" w:rsidRPr="00364D57" w:rsidRDefault="009F6A0F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9F6A0F">
        <w:rPr>
          <w:rFonts w:asciiTheme="majorHAnsi" w:hAnsiTheme="majorHAnsi" w:cstheme="majorHAnsi"/>
          <w:noProof/>
          <w:sz w:val="24"/>
          <w:szCs w:val="24"/>
          <w:lang w:val="en-US"/>
        </w:rPr>
        <w:pict w14:anchorId="6500572A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3F5ED4E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ჩაბარებისა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მონტაჟის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ვადები</w:t>
      </w:r>
    </w:p>
    <w:p w14:paraId="0C9D6955" w14:textId="77777777" w:rsidR="00364D57" w:rsidRPr="00364D57" w:rsidRDefault="00364D57" w:rsidP="00364D57">
      <w:pPr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ხელშეკრულების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გაფორმებიდან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არაუგვიანეს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3 (</w:t>
      </w:r>
      <w:r w:rsidRPr="00364D57">
        <w:rPr>
          <w:rFonts w:ascii="Sylfaen" w:hAnsi="Sylfaen" w:cs="Sylfaen"/>
          <w:sz w:val="24"/>
          <w:szCs w:val="24"/>
          <w:lang w:val="en-US"/>
        </w:rPr>
        <w:t>სამი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) </w:t>
      </w:r>
      <w:r w:rsidRPr="00364D57">
        <w:rPr>
          <w:rFonts w:ascii="Sylfaen" w:hAnsi="Sylfaen" w:cs="Sylfaen"/>
          <w:sz w:val="24"/>
          <w:szCs w:val="24"/>
          <w:lang w:val="en-US"/>
        </w:rPr>
        <w:t>თვის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ვადაში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0DDEAADD" w14:textId="77777777" w:rsidR="00364D57" w:rsidRPr="00364D57" w:rsidRDefault="009F6A0F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9F6A0F">
        <w:rPr>
          <w:rFonts w:asciiTheme="majorHAnsi" w:hAnsiTheme="majorHAnsi" w:cstheme="majorHAnsi"/>
          <w:noProof/>
          <w:sz w:val="24"/>
          <w:szCs w:val="24"/>
          <w:lang w:val="en-US"/>
        </w:rPr>
        <w:pict w14:anchorId="591CC45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24D909D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ფასისა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კომერციული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წინადადების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წარდგენა</w:t>
      </w:r>
    </w:p>
    <w:p w14:paraId="64B1B6F1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lastRenderedPageBreak/>
        <w:t>ფასების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წარმოდგენის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ზოგადი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პირობები</w:t>
      </w:r>
    </w:p>
    <w:p w14:paraId="10C42893" w14:textId="77777777" w:rsidR="00364D57" w:rsidRPr="00364D57" w:rsidRDefault="00364D57" w:rsidP="00364D57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ფასები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წარმოდგენილი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უნდა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იყოს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მხოლოდ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ეროვნულ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ვალუტაში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(</w:t>
      </w:r>
      <w:r w:rsidRPr="00364D57">
        <w:rPr>
          <w:rFonts w:ascii="Sylfaen" w:hAnsi="Sylfaen" w:cs="Sylfaen"/>
          <w:sz w:val="24"/>
          <w:szCs w:val="24"/>
          <w:lang w:val="en-US"/>
        </w:rPr>
        <w:t>ლარი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); </w:t>
      </w:r>
    </w:p>
    <w:p w14:paraId="50554DE4" w14:textId="77777777" w:rsidR="00364D57" w:rsidRPr="00364D57" w:rsidRDefault="00364D57" w:rsidP="00364D57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ღირებულება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უნდა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მოიცავდეს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ყველა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დაკავშირებულ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ხარჯსა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გადასახადს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Pr="00364D57">
        <w:rPr>
          <w:rFonts w:ascii="Sylfaen" w:hAnsi="Sylfaen" w:cs="Sylfaen"/>
          <w:sz w:val="24"/>
          <w:szCs w:val="24"/>
          <w:lang w:val="en-US"/>
        </w:rPr>
        <w:t>მათ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შორის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დღგ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>-</w:t>
      </w:r>
      <w:r w:rsidRPr="00364D57">
        <w:rPr>
          <w:rFonts w:ascii="Sylfaen" w:hAnsi="Sylfaen" w:cs="Sylfaen"/>
          <w:sz w:val="24"/>
          <w:szCs w:val="24"/>
          <w:lang w:val="en-US"/>
        </w:rPr>
        <w:t>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739A1065" w14:textId="77777777" w:rsidR="00364D57" w:rsidRPr="00364D57" w:rsidRDefault="00364D57" w:rsidP="00364D57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ღირებულება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წარმოდგენილი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უნდა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იყოს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მოთხოვნილი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მასალებისა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მომსახურებების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დეტალური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გაშლის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მიხედვით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7873FA75" w14:textId="77777777" w:rsidR="00364D57" w:rsidRPr="00364D57" w:rsidRDefault="00364D57" w:rsidP="00364D57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ხელშეკრულების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შაბლონს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წარმოადგენს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დამკვეთი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145C5FCE" w14:textId="77777777" w:rsidR="00364D57" w:rsidRPr="00364D57" w:rsidRDefault="00364D57" w:rsidP="00364D57">
      <w:pPr>
        <w:numPr>
          <w:ilvl w:val="0"/>
          <w:numId w:val="13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გამარჯვებული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კომპანიისათვის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სავალდებულოა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ხელშეკრულების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საავანსო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ღირებულების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უზრუნველყოფის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მიზნით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საბანკო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გარანტიის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წარმოდგენა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36D41AB5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კომერციული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წინადადება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(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სავალდებულო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დანართები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>)</w:t>
      </w:r>
    </w:p>
    <w:p w14:paraId="0211666D" w14:textId="77777777" w:rsidR="00364D57" w:rsidRPr="00364D57" w:rsidRDefault="00364D57" w:rsidP="00364D57">
      <w:pPr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ხარჯთაღრიცხვის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ფაილი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709320D0" w14:textId="77777777" w:rsidR="00364D57" w:rsidRPr="00364D57" w:rsidRDefault="00364D57" w:rsidP="00364D57">
      <w:pPr>
        <w:numPr>
          <w:ilvl w:val="0"/>
          <w:numId w:val="14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ტექნიკური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კომერციული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შეთავაზება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575EB4C3" w14:textId="77777777" w:rsidR="00364D57" w:rsidRPr="00364D57" w:rsidRDefault="009F6A0F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9F6A0F">
        <w:rPr>
          <w:rFonts w:asciiTheme="majorHAnsi" w:hAnsiTheme="majorHAnsi" w:cstheme="majorHAnsi"/>
          <w:noProof/>
          <w:sz w:val="24"/>
          <w:szCs w:val="24"/>
          <w:lang w:val="en-US"/>
        </w:rPr>
        <w:pict w14:anchorId="3FA62962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7498EA7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საბოლოო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ღირებულება</w:t>
      </w:r>
    </w:p>
    <w:p w14:paraId="0BF29981" w14:textId="77777777" w:rsidR="00364D57" w:rsidRPr="00364D57" w:rsidRDefault="00364D57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ტენდერში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გამარჯვებული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პრეტენდენტი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ვალდებულია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განახორციელოს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სამუშაოების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საბოლოო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გადათვლა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  <w:r w:rsidRPr="00364D57">
        <w:rPr>
          <w:rFonts w:ascii="Sylfaen" w:hAnsi="Sylfaen" w:cs="Sylfaen"/>
          <w:sz w:val="24"/>
          <w:szCs w:val="24"/>
          <w:lang w:val="en-US"/>
        </w:rPr>
        <w:t>საბოლოო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ღირებულება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განისაზღვრება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დაფიქსირდება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ხელშეკრულების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გაფორმების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ეტაპზე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74F78E80" w14:textId="77777777" w:rsidR="00364D57" w:rsidRPr="00364D57" w:rsidRDefault="009F6A0F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9F6A0F">
        <w:rPr>
          <w:rFonts w:asciiTheme="majorHAnsi" w:hAnsiTheme="majorHAnsi" w:cstheme="majorHAnsi"/>
          <w:noProof/>
          <w:sz w:val="24"/>
          <w:szCs w:val="24"/>
          <w:lang w:val="en-US"/>
        </w:rPr>
        <w:pict w14:anchorId="648E694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22BDE2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სავალდებულო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დოკუმენტაცია</w:t>
      </w:r>
    </w:p>
    <w:p w14:paraId="47DB6AD5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ბოლო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2 (</w:t>
      </w:r>
      <w:r w:rsidRPr="00364D57">
        <w:rPr>
          <w:rFonts w:ascii="Sylfaen" w:hAnsi="Sylfaen" w:cs="Sylfaen"/>
          <w:sz w:val="24"/>
          <w:szCs w:val="24"/>
          <w:lang w:val="en-US"/>
        </w:rPr>
        <w:t>ორი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) </w:t>
      </w:r>
      <w:r w:rsidRPr="00364D57">
        <w:rPr>
          <w:rFonts w:ascii="Sylfaen" w:hAnsi="Sylfaen" w:cs="Sylfaen"/>
          <w:sz w:val="24"/>
          <w:szCs w:val="24"/>
          <w:lang w:val="en-US"/>
        </w:rPr>
        <w:t>წლის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განმავლობაში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შესრულებული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ანალოგიური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სამუშაოების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გამოცდილების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დამადასტურებელი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ინფორმაცია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479E3E27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წარმოდგენილი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პროდუქციისა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მასალების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ხარისხის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შესაბამისობის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სერტიფიკატები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1CC330AB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სასაწყობე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თაროების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ტექნიკური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აღწერილობა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სპეციფიკაცია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072EC313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შემოთავაზებული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პროდუქციის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წარმოშობის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ქვეყნისა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მწარმოებლის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შესახებ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ინფორმაცია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27FE7729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კორპორატიული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კლიენტების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სია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682E2FC4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lastRenderedPageBreak/>
        <w:t>მინიმუმ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3 (</w:t>
      </w:r>
      <w:r w:rsidRPr="00364D57">
        <w:rPr>
          <w:rFonts w:ascii="Sylfaen" w:hAnsi="Sylfaen" w:cs="Sylfaen"/>
          <w:sz w:val="24"/>
          <w:szCs w:val="24"/>
          <w:lang w:val="en-US"/>
        </w:rPr>
        <w:t>სამი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) </w:t>
      </w:r>
      <w:r w:rsidRPr="00364D57">
        <w:rPr>
          <w:rFonts w:ascii="Sylfaen" w:hAnsi="Sylfaen" w:cs="Sylfaen"/>
          <w:sz w:val="24"/>
          <w:szCs w:val="24"/>
          <w:lang w:val="en-US"/>
        </w:rPr>
        <w:t>სარეკომენდაციო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წერილი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Pr="00364D57">
        <w:rPr>
          <w:rFonts w:ascii="Sylfaen" w:hAnsi="Sylfaen" w:cs="Sylfaen"/>
          <w:sz w:val="24"/>
          <w:szCs w:val="24"/>
          <w:lang w:val="en-US"/>
        </w:rPr>
        <w:t>გაცემული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ბოლო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6 (</w:t>
      </w:r>
      <w:r w:rsidRPr="00364D57">
        <w:rPr>
          <w:rFonts w:ascii="Sylfaen" w:hAnsi="Sylfaen" w:cs="Sylfaen"/>
          <w:sz w:val="24"/>
          <w:szCs w:val="24"/>
          <w:lang w:val="en-US"/>
        </w:rPr>
        <w:t>ექვსი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) </w:t>
      </w:r>
      <w:r w:rsidRPr="00364D57">
        <w:rPr>
          <w:rFonts w:ascii="Sylfaen" w:hAnsi="Sylfaen" w:cs="Sylfaen"/>
          <w:sz w:val="24"/>
          <w:szCs w:val="24"/>
          <w:lang w:val="en-US"/>
        </w:rPr>
        <w:t>თვის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განმავლობაში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4EEB642B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საგარანტიო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პირობების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დეტალური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აღწერა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376EAA07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მონტაჟის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განხორციელების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გეგმა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სამუშაოების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შესრულების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ვადები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2B7D914E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პასუხისმგებელი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საინჟინრო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>/</w:t>
      </w:r>
      <w:r w:rsidRPr="00364D57">
        <w:rPr>
          <w:rFonts w:ascii="Sylfaen" w:hAnsi="Sylfaen" w:cs="Sylfaen"/>
          <w:sz w:val="24"/>
          <w:szCs w:val="24"/>
          <w:lang w:val="en-US"/>
        </w:rPr>
        <w:t>ტექნიკური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პერსონალის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შესახებ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ინფორმაცია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(</w:t>
      </w:r>
      <w:r w:rsidRPr="00364D57">
        <w:rPr>
          <w:rFonts w:ascii="Sylfaen" w:hAnsi="Sylfaen" w:cs="Sylfaen"/>
          <w:sz w:val="24"/>
          <w:szCs w:val="24"/>
          <w:lang w:val="en-US"/>
        </w:rPr>
        <w:t>არსებობის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შემთხვევაში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); </w:t>
      </w:r>
    </w:p>
    <w:p w14:paraId="0B3C311C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წინადადების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მოქმედების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ვადა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უნდა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შეადგენდეს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არანაკლებ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30 (</w:t>
      </w:r>
      <w:r w:rsidRPr="00364D57">
        <w:rPr>
          <w:rFonts w:ascii="Sylfaen" w:hAnsi="Sylfaen" w:cs="Sylfaen"/>
          <w:sz w:val="24"/>
          <w:szCs w:val="24"/>
          <w:lang w:val="en-US"/>
        </w:rPr>
        <w:t>ოცდაათი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) </w:t>
      </w:r>
      <w:r w:rsidRPr="00364D57">
        <w:rPr>
          <w:rFonts w:ascii="Sylfaen" w:hAnsi="Sylfaen" w:cs="Sylfaen"/>
          <w:sz w:val="24"/>
          <w:szCs w:val="24"/>
          <w:lang w:val="en-US"/>
        </w:rPr>
        <w:t>კალენდარულ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დღეს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1F34B57F" w14:textId="77777777" w:rsidR="00364D57" w:rsidRPr="00364D57" w:rsidRDefault="00364D57" w:rsidP="00364D57">
      <w:pPr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მონტაჟის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დასრულების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შემდგომ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Pr="00364D57">
        <w:rPr>
          <w:rFonts w:ascii="Sylfaen" w:hAnsi="Sylfaen" w:cs="Sylfaen"/>
          <w:sz w:val="24"/>
          <w:szCs w:val="24"/>
          <w:lang w:val="en-US"/>
        </w:rPr>
        <w:t>მიმწოდებელმა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უნდა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უზრუნველყოს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უფლებამოსილი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ორგანოს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ან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სერტიფიცირებული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ექსპერტის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მიერ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გაცემული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დასკვნის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წარმოდგენა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Pr="00364D57">
        <w:rPr>
          <w:rFonts w:ascii="Sylfaen" w:hAnsi="Sylfaen" w:cs="Sylfaen"/>
          <w:sz w:val="24"/>
          <w:szCs w:val="24"/>
          <w:lang w:val="en-US"/>
        </w:rPr>
        <w:t>რომელიც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დაადასტურებს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სასაწყობე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თაროების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კონსტრუქციულ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მდგრადობას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Pr="00364D57">
        <w:rPr>
          <w:rFonts w:ascii="Sylfaen" w:hAnsi="Sylfaen" w:cs="Sylfaen"/>
          <w:sz w:val="24"/>
          <w:szCs w:val="24"/>
          <w:lang w:val="en-US"/>
        </w:rPr>
        <w:t>დატვირთვის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უსაფრთხოებასა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ექსპლუატაციისათვის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ვარგისიანობას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44239710" w14:textId="77777777" w:rsidR="00364D57" w:rsidRPr="00364D57" w:rsidRDefault="009F6A0F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9F6A0F">
        <w:rPr>
          <w:rFonts w:asciiTheme="majorHAnsi" w:hAnsiTheme="majorHAnsi" w:cstheme="majorHAnsi"/>
          <w:noProof/>
          <w:sz w:val="24"/>
          <w:szCs w:val="24"/>
          <w:lang w:val="en-US"/>
        </w:rPr>
        <w:pict w14:anchorId="46695FA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467170F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დამატებითი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ტექნიკური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მოთხოვნები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რეკომენდაციები</w:t>
      </w:r>
    </w:p>
    <w:p w14:paraId="21EC508D" w14:textId="77777777" w:rsidR="00364D57" w:rsidRPr="00364D57" w:rsidRDefault="00364D57" w:rsidP="00364D57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სასურველია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წარმოდგენილი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პროდუქცია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შეესაბამებოდეს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საერთაშორისო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სტანდარტებს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(ISO, EN, FEM </w:t>
      </w:r>
      <w:r w:rsidRPr="00364D57">
        <w:rPr>
          <w:rFonts w:ascii="Sylfaen" w:hAnsi="Sylfaen" w:cs="Sylfaen"/>
          <w:sz w:val="24"/>
          <w:szCs w:val="24"/>
          <w:lang w:val="en-US"/>
        </w:rPr>
        <w:t>ან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სხვა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შესაბამისი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სტანდარტი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); </w:t>
      </w:r>
    </w:p>
    <w:p w14:paraId="01DAEA3F" w14:textId="77777777" w:rsidR="00364D57" w:rsidRPr="00364D57" w:rsidRDefault="00364D57" w:rsidP="00364D57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პრეტენდენტმა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უნდა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წარმოადგინოს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თაროების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დატვირთვის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სქემები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შესაბამისი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საინჟინრო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გათვლები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46592F21" w14:textId="77777777" w:rsidR="00364D57" w:rsidRPr="00364D57" w:rsidRDefault="00364D57" w:rsidP="00364D57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აუცილებელია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მონტაჟის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პროცესში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უსაფრთხოების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ნორმებისა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შრომის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დაცვის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მოთხოვნების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სრული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დაცვა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6671E054" w14:textId="77777777" w:rsidR="00364D57" w:rsidRPr="00364D57" w:rsidRDefault="00364D57" w:rsidP="00364D57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პრეტენდენტმა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უნდა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მიუთითოს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მონტაჟის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შემდგომი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ტექნიკური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მომსახურებისა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მხარდაჭერის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პირობები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39B7D11B" w14:textId="77777777" w:rsidR="00364D57" w:rsidRPr="00364D57" w:rsidRDefault="00364D57" w:rsidP="00364D57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სასურველია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სათადარიგო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ნაწილებისა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კომპონენტების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ხელმისაწვდომობის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ვადის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მითითება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5BDDC370" w14:textId="77777777" w:rsidR="00364D57" w:rsidRPr="00364D57" w:rsidRDefault="00364D57" w:rsidP="00364D57">
      <w:pPr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საჭიროების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შემთხვევაში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Pr="00364D57">
        <w:rPr>
          <w:rFonts w:ascii="Sylfaen" w:hAnsi="Sylfaen" w:cs="Sylfaen"/>
          <w:sz w:val="24"/>
          <w:szCs w:val="24"/>
          <w:lang w:val="en-US"/>
        </w:rPr>
        <w:t>დამკვეთი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უფლებამოსილია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მოითხოვოს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დამატებითი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ტექნიკური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ინფორმაცია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ან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პროდუქციის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ნიმუშები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659F763A" w14:textId="77777777" w:rsidR="00364D57" w:rsidRPr="00364D57" w:rsidRDefault="009F6A0F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9F6A0F">
        <w:rPr>
          <w:rFonts w:asciiTheme="majorHAnsi" w:hAnsiTheme="majorHAnsi" w:cstheme="majorHAnsi"/>
          <w:noProof/>
          <w:sz w:val="24"/>
          <w:szCs w:val="24"/>
          <w:lang w:val="en-US"/>
        </w:rPr>
        <w:pict w14:anchorId="5387262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1878768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სატენდერო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პროცედურები</w:t>
      </w:r>
    </w:p>
    <w:p w14:paraId="37626FAE" w14:textId="77777777" w:rsidR="00364D57" w:rsidRPr="00364D57" w:rsidRDefault="00364D57" w:rsidP="00364D57">
      <w:pPr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lastRenderedPageBreak/>
        <w:t>განიხილება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მხოლოდ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სრულყოფილად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წარმოდგენილი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განაცხადები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56634A50" w14:textId="77777777" w:rsidR="00364D57" w:rsidRPr="00364D57" w:rsidRDefault="00364D57" w:rsidP="00364D57">
      <w:pPr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გამარჯვებულს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გამოავლენს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სატენდერო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კომიტეტი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3A26D2AD" w14:textId="77777777" w:rsidR="00364D57" w:rsidRPr="00364D57" w:rsidRDefault="00364D57" w:rsidP="00364D57">
      <w:pPr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დამკვეთი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იტოვებს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უფლებას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Pr="00364D57">
        <w:rPr>
          <w:rFonts w:ascii="Sylfaen" w:hAnsi="Sylfaen" w:cs="Sylfaen"/>
          <w:sz w:val="24"/>
          <w:szCs w:val="24"/>
          <w:lang w:val="en-US"/>
        </w:rPr>
        <w:t>საჭიროების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შემთხვევაში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Pr="00364D57">
        <w:rPr>
          <w:rFonts w:ascii="Sylfaen" w:hAnsi="Sylfaen" w:cs="Sylfaen"/>
          <w:sz w:val="24"/>
          <w:szCs w:val="24"/>
          <w:lang w:val="en-US"/>
        </w:rPr>
        <w:t>შეცვალოს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ტენდერის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ვადები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ან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შეწყვიტოს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სატენდერო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პროცესი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დამატებითი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განმარტების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გარეშე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7E6D1B19" w14:textId="77777777" w:rsidR="00364D57" w:rsidRPr="00364D57" w:rsidRDefault="009F6A0F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9F6A0F">
        <w:rPr>
          <w:rFonts w:asciiTheme="majorHAnsi" w:hAnsiTheme="majorHAnsi" w:cstheme="majorHAnsi"/>
          <w:noProof/>
          <w:sz w:val="24"/>
          <w:szCs w:val="24"/>
          <w:lang w:val="en-US"/>
        </w:rPr>
        <w:pict w14:anchorId="02CF0DD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AB58FA2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ელექტრონული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ტენდერი</w:t>
      </w:r>
    </w:p>
    <w:p w14:paraId="625415F0" w14:textId="77777777" w:rsidR="00364D57" w:rsidRPr="00364D57" w:rsidRDefault="00364D57" w:rsidP="00364D57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განაცხადი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ატვირთული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უნდა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იყოს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პლატფორმაზე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: www.tenders.ge; </w:t>
      </w:r>
    </w:p>
    <w:p w14:paraId="4EDA7B18" w14:textId="77777777" w:rsidR="00364D57" w:rsidRPr="00364D57" w:rsidRDefault="00364D57" w:rsidP="00364D57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შეკითხვები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მიიღება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Q&amp;A </w:t>
      </w:r>
      <w:r w:rsidRPr="00364D57">
        <w:rPr>
          <w:rFonts w:ascii="Sylfaen" w:hAnsi="Sylfaen" w:cs="Sylfaen"/>
          <w:sz w:val="24"/>
          <w:szCs w:val="24"/>
          <w:lang w:val="en-US"/>
        </w:rPr>
        <w:t>რეჟიმში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2EB11891" w14:textId="1B9545D6" w:rsidR="00364D57" w:rsidRPr="00364D57" w:rsidRDefault="00364D57" w:rsidP="00364D57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განაცხადების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წარმოდგენის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საბოლოო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ვადა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: 2026 </w:t>
      </w:r>
      <w:r w:rsidRPr="00364D57">
        <w:rPr>
          <w:rFonts w:ascii="Sylfaen" w:hAnsi="Sylfaen" w:cs="Sylfaen"/>
          <w:sz w:val="24"/>
          <w:szCs w:val="24"/>
          <w:lang w:val="en-US"/>
        </w:rPr>
        <w:t>წლის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14618B">
        <w:rPr>
          <w:rFonts w:asciiTheme="majorHAnsi" w:hAnsiTheme="majorHAnsi" w:cstheme="majorHAnsi"/>
          <w:sz w:val="24"/>
          <w:szCs w:val="24"/>
        </w:rPr>
        <w:t xml:space="preserve">3 </w:t>
      </w:r>
      <w:r w:rsidR="0014618B">
        <w:rPr>
          <w:rFonts w:ascii="Sylfaen" w:hAnsi="Sylfaen" w:cstheme="majorHAnsi"/>
          <w:sz w:val="24"/>
          <w:szCs w:val="24"/>
        </w:rPr>
        <w:t xml:space="preserve">ივნისი, 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17:00 </w:t>
      </w:r>
      <w:r w:rsidRPr="00364D57">
        <w:rPr>
          <w:rFonts w:ascii="Sylfaen" w:hAnsi="Sylfaen" w:cs="Sylfaen"/>
          <w:sz w:val="24"/>
          <w:szCs w:val="24"/>
          <w:lang w:val="en-US"/>
        </w:rPr>
        <w:t>საათი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; </w:t>
      </w:r>
    </w:p>
    <w:p w14:paraId="5B084C24" w14:textId="77777777" w:rsidR="00364D57" w:rsidRPr="00364D57" w:rsidRDefault="00364D57" w:rsidP="00364D57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ვალუტა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r w:rsidRPr="00364D57">
        <w:rPr>
          <w:rFonts w:ascii="Sylfaen" w:hAnsi="Sylfaen" w:cs="Sylfaen"/>
          <w:sz w:val="24"/>
          <w:szCs w:val="24"/>
          <w:lang w:val="en-US"/>
        </w:rPr>
        <w:t>ლარი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(GEL); </w:t>
      </w:r>
    </w:p>
    <w:p w14:paraId="685DD645" w14:textId="77777777" w:rsidR="00364D57" w:rsidRPr="00364D57" w:rsidRDefault="00364D57" w:rsidP="00364D57">
      <w:pPr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sz w:val="24"/>
          <w:szCs w:val="24"/>
          <w:lang w:val="en-US"/>
        </w:rPr>
        <w:t>ვაჭრობა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r w:rsidRPr="00364D57">
        <w:rPr>
          <w:rFonts w:ascii="Sylfaen" w:hAnsi="Sylfaen" w:cs="Sylfaen"/>
          <w:sz w:val="24"/>
          <w:szCs w:val="24"/>
          <w:lang w:val="en-US"/>
        </w:rPr>
        <w:t>გარეშე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72F2030F" w14:textId="77777777" w:rsidR="00364D57" w:rsidRPr="00364D57" w:rsidRDefault="009F6A0F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9F6A0F">
        <w:rPr>
          <w:rFonts w:asciiTheme="majorHAnsi" w:hAnsiTheme="majorHAnsi" w:cstheme="majorHAnsi"/>
          <w:noProof/>
          <w:sz w:val="24"/>
          <w:szCs w:val="24"/>
          <w:lang w:val="en-US"/>
        </w:rPr>
        <w:pict w14:anchorId="5C51E37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96C492A" w14:textId="77777777" w:rsidR="00364D57" w:rsidRPr="00364D57" w:rsidRDefault="00364D57" w:rsidP="00364D57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საკონტაქტო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ინფორმაცია</w:t>
      </w:r>
    </w:p>
    <w:p w14:paraId="5A3FADB1" w14:textId="77777777" w:rsidR="00364D57" w:rsidRPr="00364D57" w:rsidRDefault="00364D57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შესყიდვების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დეპარტამენტის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უფროსი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>: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br/>
      </w:r>
      <w:r w:rsidRPr="00364D57">
        <w:rPr>
          <w:rFonts w:ascii="Sylfaen" w:hAnsi="Sylfaen" w:cs="Sylfaen"/>
          <w:sz w:val="24"/>
          <w:szCs w:val="24"/>
          <w:lang w:val="en-US"/>
        </w:rPr>
        <w:t>თამარ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sz w:val="24"/>
          <w:szCs w:val="24"/>
          <w:lang w:val="en-US"/>
        </w:rPr>
        <w:t>იმერლიშვილი</w:t>
      </w:r>
    </w:p>
    <w:p w14:paraId="57F74C8C" w14:textId="2BBD9068" w:rsidR="00364D57" w:rsidRDefault="00364D57" w:rsidP="00364D57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ელ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>-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ფოსტა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>: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info@altrix.ge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br/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ტელ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>.: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+995 571 772</w:t>
      </w:r>
      <w:r w:rsidR="001708E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>211</w:t>
      </w:r>
    </w:p>
    <w:p w14:paraId="292620C6" w14:textId="77777777" w:rsidR="00411C74" w:rsidRDefault="00411C74" w:rsidP="00364D57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69BA3258" w14:textId="77777777" w:rsidR="00411C74" w:rsidRPr="00364D57" w:rsidRDefault="00411C74" w:rsidP="00411C74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საკონტაქტო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ინფორმაცია</w:t>
      </w:r>
    </w:p>
    <w:p w14:paraId="272A52AE" w14:textId="338AC6D4" w:rsidR="00411C74" w:rsidRPr="00364D57" w:rsidRDefault="00411C74" w:rsidP="00411C74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="Sylfaen" w:hAnsi="Sylfaen" w:cs="Sylfaen"/>
          <w:b/>
          <w:bCs/>
          <w:sz w:val="24"/>
          <w:szCs w:val="24"/>
          <w:lang w:val="en-US"/>
        </w:rPr>
        <w:t>დირექტორი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br/>
      </w:r>
      <w:r>
        <w:rPr>
          <w:rFonts w:ascii="Sylfaen" w:hAnsi="Sylfaen" w:cs="Sylfaen"/>
          <w:sz w:val="24"/>
          <w:szCs w:val="24"/>
          <w:lang w:val="en-US"/>
        </w:rPr>
        <w:t xml:space="preserve">კახა ჭოველიძე </w:t>
      </w:r>
    </w:p>
    <w:p w14:paraId="0EFCA83A" w14:textId="6FD21678" w:rsidR="001708EE" w:rsidRPr="001708EE" w:rsidRDefault="00411C74" w:rsidP="001708EE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ელ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>-</w:t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ფოსტა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>: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t xml:space="preserve"> info@altrix.ge</w:t>
      </w:r>
      <w:r w:rsidRPr="00364D57">
        <w:rPr>
          <w:rFonts w:asciiTheme="majorHAnsi" w:hAnsiTheme="majorHAnsi" w:cstheme="majorHAnsi"/>
          <w:sz w:val="24"/>
          <w:szCs w:val="24"/>
          <w:lang w:val="en-US"/>
        </w:rPr>
        <w:br/>
      </w:r>
      <w:r w:rsidRPr="00364D57">
        <w:rPr>
          <w:rFonts w:ascii="Sylfaen" w:hAnsi="Sylfaen" w:cs="Sylfaen"/>
          <w:b/>
          <w:bCs/>
          <w:sz w:val="24"/>
          <w:szCs w:val="24"/>
          <w:lang w:val="en-US"/>
        </w:rPr>
        <w:t>ტელ</w:t>
      </w:r>
      <w:r w:rsidRPr="00364D57">
        <w:rPr>
          <w:rFonts w:asciiTheme="majorHAnsi" w:hAnsiTheme="majorHAnsi" w:cstheme="majorHAnsi"/>
          <w:b/>
          <w:bCs/>
          <w:sz w:val="24"/>
          <w:szCs w:val="24"/>
          <w:lang w:val="en-US"/>
        </w:rPr>
        <w:t>.:</w:t>
      </w:r>
      <w:r w:rsidR="001708EE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</w:t>
      </w:r>
      <w:r w:rsidR="001708EE" w:rsidRPr="001708EE">
        <w:rPr>
          <w:rFonts w:asciiTheme="majorHAnsi" w:hAnsiTheme="majorHAnsi" w:cstheme="majorHAnsi"/>
          <w:sz w:val="24"/>
          <w:szCs w:val="24"/>
          <w:lang w:val="en-US"/>
        </w:rPr>
        <w:t>+995 577 408 291</w:t>
      </w:r>
    </w:p>
    <w:p w14:paraId="1DB2A897" w14:textId="0DCE6176" w:rsidR="00411C74" w:rsidRPr="00364D57" w:rsidRDefault="00411C74" w:rsidP="00411C74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1E0966D1" w14:textId="77777777" w:rsidR="00411C74" w:rsidRPr="00364D57" w:rsidRDefault="00411C74" w:rsidP="00364D57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02E13E2" w14:textId="77777777" w:rsidR="00364D57" w:rsidRPr="00DA2DAB" w:rsidRDefault="00364D57" w:rsidP="00654CAA">
      <w:pPr>
        <w:rPr>
          <w:rFonts w:asciiTheme="majorHAnsi" w:hAnsiTheme="majorHAnsi" w:cstheme="majorHAnsi"/>
          <w:sz w:val="24"/>
          <w:szCs w:val="24"/>
        </w:rPr>
      </w:pPr>
    </w:p>
    <w:p w14:paraId="433FC384" w14:textId="77777777" w:rsidR="00654CAA" w:rsidRPr="00307415" w:rsidRDefault="00654CAA" w:rsidP="00307415"/>
    <w:sectPr w:rsidR="00654CAA" w:rsidRPr="00307415" w:rsidSect="002A41A0">
      <w:headerReference w:type="default" r:id="rId8"/>
      <w:type w:val="continuous"/>
      <w:pgSz w:w="11906" w:h="16838"/>
      <w:pgMar w:top="1134" w:right="850" w:bottom="1134" w:left="1701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7093C" w14:textId="77777777" w:rsidR="009F6A0F" w:rsidRPr="00DA2DAB" w:rsidRDefault="009F6A0F" w:rsidP="00A16288">
      <w:pPr>
        <w:spacing w:after="0" w:line="240" w:lineRule="auto"/>
      </w:pPr>
      <w:r w:rsidRPr="00DA2DAB">
        <w:separator/>
      </w:r>
    </w:p>
  </w:endnote>
  <w:endnote w:type="continuationSeparator" w:id="0">
    <w:p w14:paraId="63943C54" w14:textId="77777777" w:rsidR="009F6A0F" w:rsidRPr="00DA2DAB" w:rsidRDefault="009F6A0F" w:rsidP="00A16288">
      <w:pPr>
        <w:spacing w:after="0" w:line="240" w:lineRule="auto"/>
      </w:pPr>
      <w:r w:rsidRPr="00DA2D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BPG Ingiri Arial">
    <w:altName w:val="Arial"/>
    <w:panose1 w:val="020B0604020202020204"/>
    <w:charset w:val="00"/>
    <w:family w:val="swiss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A1526" w14:textId="77777777" w:rsidR="009F6A0F" w:rsidRPr="00DA2DAB" w:rsidRDefault="009F6A0F" w:rsidP="00A16288">
      <w:pPr>
        <w:spacing w:after="0" w:line="240" w:lineRule="auto"/>
      </w:pPr>
      <w:r w:rsidRPr="00DA2DAB">
        <w:separator/>
      </w:r>
    </w:p>
  </w:footnote>
  <w:footnote w:type="continuationSeparator" w:id="0">
    <w:p w14:paraId="157F2C58" w14:textId="77777777" w:rsidR="009F6A0F" w:rsidRPr="00DA2DAB" w:rsidRDefault="009F6A0F" w:rsidP="00A16288">
      <w:pPr>
        <w:spacing w:after="0" w:line="240" w:lineRule="auto"/>
      </w:pPr>
      <w:r w:rsidRPr="00DA2D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E0FD1" w14:textId="12353347" w:rsidR="00BA6022" w:rsidRPr="00DA2DAB" w:rsidRDefault="00BA6022" w:rsidP="00A16288">
    <w:pPr>
      <w:spacing w:after="0"/>
      <w:rPr>
        <w:rFonts w:ascii="Sylfaen" w:hAnsi="Sylfaen" w:cs="BPG Ingiri Arial"/>
        <w:b/>
        <w:sz w:val="17"/>
        <w:szCs w:val="17"/>
      </w:rPr>
    </w:pPr>
  </w:p>
  <w:p w14:paraId="76252CAD" w14:textId="1DFCED68" w:rsidR="005249AC" w:rsidRPr="00DA2DAB" w:rsidRDefault="000E019E" w:rsidP="005249AC">
    <w:pPr>
      <w:spacing w:after="0"/>
      <w:rPr>
        <w:rFonts w:ascii="Sylfaen" w:hAnsi="Sylfaen" w:cs="BPG Ingiri Arial"/>
        <w:b/>
        <w:sz w:val="17"/>
        <w:szCs w:val="17"/>
      </w:rPr>
    </w:pPr>
    <w:r w:rsidRPr="00DA2DAB">
      <w:rPr>
        <w:rFonts w:ascii="Sylfaen" w:hAnsi="Sylfaen" w:cs="BPG Ingiri Arial"/>
        <w:b/>
        <w:noProof/>
        <w:sz w:val="17"/>
        <w:szCs w:val="17"/>
      </w:rPr>
      <w:drawing>
        <wp:anchor distT="0" distB="0" distL="114300" distR="114300" simplePos="0" relativeHeight="251658240" behindDoc="0" locked="0" layoutInCell="1" allowOverlap="1" wp14:anchorId="2843E723" wp14:editId="43828FF7">
          <wp:simplePos x="0" y="0"/>
          <wp:positionH relativeFrom="column">
            <wp:posOffset>3962400</wp:posOffset>
          </wp:positionH>
          <wp:positionV relativeFrom="paragraph">
            <wp:posOffset>62230</wp:posOffset>
          </wp:positionV>
          <wp:extent cx="2371725" cy="646430"/>
          <wp:effectExtent l="0" t="0" r="0" b="0"/>
          <wp:wrapThrough wrapText="bothSides">
            <wp:wrapPolygon edited="0">
              <wp:start x="6072" y="0"/>
              <wp:lineTo x="3470" y="0"/>
              <wp:lineTo x="3296" y="8275"/>
              <wp:lineTo x="3990" y="10185"/>
              <wp:lineTo x="6766" y="21006"/>
              <wp:lineTo x="14747" y="21006"/>
              <wp:lineTo x="17176" y="10185"/>
              <wp:lineTo x="18564" y="6365"/>
              <wp:lineTo x="17870" y="0"/>
              <wp:lineTo x="6940" y="0"/>
              <wp:lineTo x="6072" y="0"/>
            </wp:wrapPolygon>
          </wp:wrapThrough>
          <wp:docPr id="1080807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288" w:rsidRPr="00DA2DAB">
      <w:rPr>
        <w:rFonts w:ascii="Sylfaen" w:hAnsi="Sylfaen" w:cs="BPG Ingiri Arial"/>
        <w:b/>
        <w:sz w:val="17"/>
        <w:szCs w:val="17"/>
      </w:rPr>
      <w:t>შ.პ.ს. ალტ</w:t>
    </w:r>
    <w:r w:rsidR="005249AC" w:rsidRPr="00DA2DAB">
      <w:rPr>
        <w:rFonts w:ascii="Sylfaen" w:hAnsi="Sylfaen" w:cs="BPG Ingiri Arial"/>
        <w:b/>
        <w:sz w:val="17"/>
        <w:szCs w:val="17"/>
      </w:rPr>
      <w:t>რიქს ლოჯისტიკა</w:t>
    </w:r>
    <w:r w:rsidR="00D65224" w:rsidRPr="00DA2DAB">
      <w:rPr>
        <w:rFonts w:ascii="Sylfaen" w:hAnsi="Sylfaen" w:cs="BPG Ingiri Arial"/>
        <w:b/>
        <w:sz w:val="17"/>
        <w:szCs w:val="17"/>
      </w:rPr>
      <w:t xml:space="preserve"> - L</w:t>
    </w:r>
    <w:r w:rsidR="005249AC" w:rsidRPr="00DA2DAB">
      <w:rPr>
        <w:rFonts w:ascii="Sylfaen" w:hAnsi="Sylfaen" w:cs="BPG Ingiri Arial"/>
        <w:b/>
        <w:sz w:val="17"/>
        <w:szCs w:val="17"/>
      </w:rPr>
      <w:t>lc</w:t>
    </w:r>
    <w:r w:rsidR="00D65224" w:rsidRPr="00DA2DAB">
      <w:rPr>
        <w:rFonts w:ascii="Sylfaen" w:hAnsi="Sylfaen" w:cs="BPG Ingiri Arial"/>
        <w:b/>
        <w:sz w:val="17"/>
        <w:szCs w:val="17"/>
      </w:rPr>
      <w:t xml:space="preserve">  A</w:t>
    </w:r>
    <w:r w:rsidR="004A10AC" w:rsidRPr="00DA2DAB">
      <w:rPr>
        <w:rFonts w:ascii="Sylfaen" w:hAnsi="Sylfaen" w:cs="BPG Ingiri Arial"/>
        <w:b/>
        <w:sz w:val="17"/>
        <w:szCs w:val="17"/>
      </w:rPr>
      <w:t>ltrix Logistics</w:t>
    </w:r>
    <w:r w:rsidR="00446FB9" w:rsidRPr="00DA2DAB">
      <w:rPr>
        <w:rFonts w:ascii="Sylfaen" w:hAnsi="Sylfaen" w:cs="BPG Ingiri Arial"/>
        <w:b/>
        <w:sz w:val="17"/>
        <w:szCs w:val="17"/>
      </w:rPr>
      <w:t xml:space="preserve">– </w:t>
    </w:r>
    <w:r w:rsidR="005249AC" w:rsidRPr="00DA2DAB">
      <w:rPr>
        <w:rFonts w:ascii="Sylfaen" w:hAnsi="Sylfaen" w:cs="BPG Ingiri Arial"/>
        <w:b/>
        <w:sz w:val="17"/>
        <w:szCs w:val="17"/>
      </w:rPr>
      <w:t>402342504</w:t>
    </w:r>
  </w:p>
  <w:p w14:paraId="760B52BD" w14:textId="09254522" w:rsidR="005249AC" w:rsidRPr="00DA2DAB" w:rsidRDefault="005249AC" w:rsidP="005249AC">
    <w:pPr>
      <w:spacing w:after="0"/>
      <w:rPr>
        <w:rFonts w:ascii="Sylfaen" w:hAnsi="Sylfaen" w:cs="BPG Ingiri Arial"/>
        <w:sz w:val="17"/>
        <w:szCs w:val="17"/>
      </w:rPr>
    </w:pPr>
    <w:r w:rsidRPr="00DA2DAB">
      <w:rPr>
        <w:rFonts w:ascii="Sylfaen" w:hAnsi="Sylfaen" w:cs="BPG Ingiri Arial"/>
        <w:sz w:val="17"/>
        <w:szCs w:val="17"/>
      </w:rPr>
      <w:t>ბელიაშვილის ქ. 104</w:t>
    </w:r>
  </w:p>
  <w:p w14:paraId="2B720CAE" w14:textId="77777777" w:rsidR="005249AC" w:rsidRPr="00DA2DAB" w:rsidRDefault="005249AC" w:rsidP="005249AC">
    <w:pPr>
      <w:spacing w:after="0"/>
      <w:rPr>
        <w:rFonts w:ascii="Sylfaen" w:hAnsi="Sylfaen" w:cs="BPG Ingiri Arial"/>
        <w:sz w:val="6"/>
        <w:szCs w:val="6"/>
      </w:rPr>
    </w:pPr>
    <w:r w:rsidRPr="00DA2DAB">
      <w:rPr>
        <w:rFonts w:ascii="Sylfaen" w:hAnsi="Sylfaen" w:cs="BPG Ingiri Arial"/>
        <w:sz w:val="17"/>
        <w:szCs w:val="17"/>
      </w:rPr>
      <w:t>0159 თბილისი, საქართველო</w:t>
    </w:r>
  </w:p>
  <w:p w14:paraId="515D37F7" w14:textId="5737E387" w:rsidR="005249AC" w:rsidRPr="00DA2DAB" w:rsidRDefault="005249AC" w:rsidP="005249AC">
    <w:pPr>
      <w:spacing w:after="0"/>
      <w:rPr>
        <w:rFonts w:ascii="Sylfaen" w:hAnsi="Sylfaen" w:cs="BPG Ingiri Arial"/>
        <w:sz w:val="17"/>
        <w:szCs w:val="17"/>
      </w:rPr>
    </w:pPr>
    <w:r w:rsidRPr="00DA2DAB">
      <w:rPr>
        <w:rFonts w:ascii="Sylfaen" w:hAnsi="Sylfaen" w:cs="BPG Ingiri Arial"/>
        <w:sz w:val="17"/>
        <w:szCs w:val="17"/>
      </w:rPr>
      <w:t xml:space="preserve">104, Beliashvili </w:t>
    </w:r>
    <w:r w:rsidRPr="00DA2DAB">
      <w:rPr>
        <w:rFonts w:ascii="BPG Ingiri Arial" w:hAnsi="BPG Ingiri Arial" w:cs="BPG Ingiri Arial"/>
        <w:sz w:val="17"/>
        <w:szCs w:val="17"/>
      </w:rPr>
      <w:t xml:space="preserve"> Str.</w:t>
    </w:r>
    <w:r w:rsidRPr="00DA2DAB">
      <w:t xml:space="preserve"> </w:t>
    </w:r>
  </w:p>
  <w:p w14:paraId="3C2B2CE7" w14:textId="0FE5F414" w:rsidR="005249AC" w:rsidRPr="00DA2DAB" w:rsidRDefault="005249AC" w:rsidP="005249AC">
    <w:pPr>
      <w:spacing w:after="0" w:line="240" w:lineRule="auto"/>
      <w:rPr>
        <w:rStyle w:val="BookTitle"/>
      </w:rPr>
    </w:pPr>
    <w:r w:rsidRPr="00DA2DAB">
      <w:rPr>
        <w:rFonts w:ascii="BPG Ingiri Arial" w:hAnsi="BPG Ingiri Arial" w:cs="BPG Ingiri Arial"/>
        <w:sz w:val="17"/>
        <w:szCs w:val="17"/>
      </w:rPr>
      <w:t xml:space="preserve">0159 Tbilisi, Georgia                                                                                                     </w:t>
    </w:r>
  </w:p>
  <w:p w14:paraId="0EC16B92" w14:textId="77777777" w:rsidR="005249AC" w:rsidRPr="00DA2DAB" w:rsidRDefault="005249AC" w:rsidP="005249AC">
    <w:pPr>
      <w:spacing w:after="0" w:line="240" w:lineRule="auto"/>
      <w:rPr>
        <w:rFonts w:ascii="BPG Ingiri Arial" w:hAnsi="BPG Ingiri Arial" w:cs="BPG Ingiri Arial"/>
        <w:sz w:val="6"/>
        <w:szCs w:val="6"/>
      </w:rPr>
    </w:pPr>
  </w:p>
  <w:p w14:paraId="2D48728B" w14:textId="69947AB1" w:rsidR="005249AC" w:rsidRPr="00DA2DAB" w:rsidRDefault="005249AC" w:rsidP="005249AC">
    <w:pPr>
      <w:spacing w:after="0" w:line="240" w:lineRule="auto"/>
      <w:rPr>
        <w:rFonts w:ascii="BPG Ingiri Arial" w:hAnsi="BPG Ingiri Arial" w:cs="BPG Ingiri Arial"/>
        <w:sz w:val="17"/>
        <w:szCs w:val="17"/>
      </w:rPr>
    </w:pPr>
    <w:r w:rsidRPr="00DA2DAB">
      <w:rPr>
        <w:rFonts w:ascii="BPG Ingiri Arial" w:hAnsi="BPG Ingiri Arial" w:cs="BPG Ingiri Arial"/>
        <w:sz w:val="17"/>
        <w:szCs w:val="17"/>
      </w:rPr>
      <w:t>info@</w:t>
    </w:r>
    <w:r w:rsidR="00C23ED8" w:rsidRPr="00DA2DAB">
      <w:rPr>
        <w:rFonts w:ascii="BPG Ingiri Arial" w:hAnsi="BPG Ingiri Arial" w:cs="BPG Ingiri Arial"/>
        <w:sz w:val="17"/>
        <w:szCs w:val="17"/>
      </w:rPr>
      <w:t>altrix.ge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23D58"/>
    <w:multiLevelType w:val="hybridMultilevel"/>
    <w:tmpl w:val="0FB6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A0D"/>
    <w:multiLevelType w:val="multilevel"/>
    <w:tmpl w:val="7BF2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2C4F"/>
    <w:multiLevelType w:val="hybridMultilevel"/>
    <w:tmpl w:val="29BA3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26C94"/>
    <w:multiLevelType w:val="multilevel"/>
    <w:tmpl w:val="51DE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544E3"/>
    <w:multiLevelType w:val="multilevel"/>
    <w:tmpl w:val="DA86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7249D"/>
    <w:multiLevelType w:val="multilevel"/>
    <w:tmpl w:val="CD3A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2519A"/>
    <w:multiLevelType w:val="hybridMultilevel"/>
    <w:tmpl w:val="92845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71004"/>
    <w:multiLevelType w:val="multilevel"/>
    <w:tmpl w:val="30E6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50581"/>
    <w:multiLevelType w:val="multilevel"/>
    <w:tmpl w:val="A67A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CE1DB6"/>
    <w:multiLevelType w:val="multilevel"/>
    <w:tmpl w:val="271E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D47DD"/>
    <w:multiLevelType w:val="hybridMultilevel"/>
    <w:tmpl w:val="37F06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16CEA"/>
    <w:multiLevelType w:val="multilevel"/>
    <w:tmpl w:val="4414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F02629"/>
    <w:multiLevelType w:val="hybridMultilevel"/>
    <w:tmpl w:val="6274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97783"/>
    <w:multiLevelType w:val="multilevel"/>
    <w:tmpl w:val="41DE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31F69"/>
    <w:multiLevelType w:val="hybridMultilevel"/>
    <w:tmpl w:val="76423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F444D"/>
    <w:multiLevelType w:val="multilevel"/>
    <w:tmpl w:val="E430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6012EF"/>
    <w:multiLevelType w:val="multilevel"/>
    <w:tmpl w:val="0D9E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6775E"/>
    <w:multiLevelType w:val="hybridMultilevel"/>
    <w:tmpl w:val="6BC4D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5FDC"/>
    <w:multiLevelType w:val="hybridMultilevel"/>
    <w:tmpl w:val="7AF8FD9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3921FAA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4D56EB"/>
    <w:multiLevelType w:val="hybridMultilevel"/>
    <w:tmpl w:val="5E2C4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3921FAA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6"/>
  </w:num>
  <w:num w:numId="5">
    <w:abstractNumId w:val="17"/>
  </w:num>
  <w:num w:numId="6">
    <w:abstractNumId w:val="18"/>
  </w:num>
  <w:num w:numId="7">
    <w:abstractNumId w:val="2"/>
  </w:num>
  <w:num w:numId="8">
    <w:abstractNumId w:val="7"/>
  </w:num>
  <w:num w:numId="9">
    <w:abstractNumId w:val="11"/>
  </w:num>
  <w:num w:numId="10">
    <w:abstractNumId w:val="16"/>
  </w:num>
  <w:num w:numId="11">
    <w:abstractNumId w:val="3"/>
  </w:num>
  <w:num w:numId="12">
    <w:abstractNumId w:val="1"/>
  </w:num>
  <w:num w:numId="13">
    <w:abstractNumId w:val="4"/>
  </w:num>
  <w:num w:numId="14">
    <w:abstractNumId w:val="8"/>
  </w:num>
  <w:num w:numId="15">
    <w:abstractNumId w:val="9"/>
  </w:num>
  <w:num w:numId="16">
    <w:abstractNumId w:val="5"/>
  </w:num>
  <w:num w:numId="17">
    <w:abstractNumId w:val="15"/>
  </w:num>
  <w:num w:numId="18">
    <w:abstractNumId w:val="13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88"/>
    <w:rsid w:val="000110CD"/>
    <w:rsid w:val="00024161"/>
    <w:rsid w:val="0002442C"/>
    <w:rsid w:val="00056766"/>
    <w:rsid w:val="00057146"/>
    <w:rsid w:val="00061DA3"/>
    <w:rsid w:val="00081383"/>
    <w:rsid w:val="000E019E"/>
    <w:rsid w:val="000E7CEC"/>
    <w:rsid w:val="00126430"/>
    <w:rsid w:val="0013463C"/>
    <w:rsid w:val="0014618B"/>
    <w:rsid w:val="001708EE"/>
    <w:rsid w:val="001B0D83"/>
    <w:rsid w:val="001D2BDE"/>
    <w:rsid w:val="00231D29"/>
    <w:rsid w:val="002477B1"/>
    <w:rsid w:val="0026577B"/>
    <w:rsid w:val="002A2A4D"/>
    <w:rsid w:val="002A41A0"/>
    <w:rsid w:val="002A7F19"/>
    <w:rsid w:val="002C02BA"/>
    <w:rsid w:val="002D76FB"/>
    <w:rsid w:val="00307415"/>
    <w:rsid w:val="00364D57"/>
    <w:rsid w:val="003F14D5"/>
    <w:rsid w:val="00411C74"/>
    <w:rsid w:val="00433811"/>
    <w:rsid w:val="00446FB9"/>
    <w:rsid w:val="00457784"/>
    <w:rsid w:val="00471B86"/>
    <w:rsid w:val="00487224"/>
    <w:rsid w:val="004A10AC"/>
    <w:rsid w:val="005249AC"/>
    <w:rsid w:val="005470D7"/>
    <w:rsid w:val="0057000D"/>
    <w:rsid w:val="00576118"/>
    <w:rsid w:val="0060418C"/>
    <w:rsid w:val="00653C15"/>
    <w:rsid w:val="00654CAA"/>
    <w:rsid w:val="006757B9"/>
    <w:rsid w:val="00677136"/>
    <w:rsid w:val="00677EF6"/>
    <w:rsid w:val="00682BD6"/>
    <w:rsid w:val="006A1BF6"/>
    <w:rsid w:val="006C1F4E"/>
    <w:rsid w:val="006E6C77"/>
    <w:rsid w:val="00705E04"/>
    <w:rsid w:val="007336C7"/>
    <w:rsid w:val="0073472D"/>
    <w:rsid w:val="00765450"/>
    <w:rsid w:val="00773F90"/>
    <w:rsid w:val="007C6FCE"/>
    <w:rsid w:val="007D4AE4"/>
    <w:rsid w:val="007D4E07"/>
    <w:rsid w:val="00823686"/>
    <w:rsid w:val="00856454"/>
    <w:rsid w:val="008A3AB0"/>
    <w:rsid w:val="008B7E88"/>
    <w:rsid w:val="008E3A7A"/>
    <w:rsid w:val="008E7F62"/>
    <w:rsid w:val="008F032E"/>
    <w:rsid w:val="008F0771"/>
    <w:rsid w:val="00941C68"/>
    <w:rsid w:val="00975143"/>
    <w:rsid w:val="00995AA1"/>
    <w:rsid w:val="009F6A0F"/>
    <w:rsid w:val="00A06449"/>
    <w:rsid w:val="00A16288"/>
    <w:rsid w:val="00A16637"/>
    <w:rsid w:val="00A80EEE"/>
    <w:rsid w:val="00AD5DE8"/>
    <w:rsid w:val="00AE75A6"/>
    <w:rsid w:val="00AF687C"/>
    <w:rsid w:val="00B045CA"/>
    <w:rsid w:val="00B45BDF"/>
    <w:rsid w:val="00B517F1"/>
    <w:rsid w:val="00B63EC7"/>
    <w:rsid w:val="00B74D4E"/>
    <w:rsid w:val="00B75D54"/>
    <w:rsid w:val="00B818E2"/>
    <w:rsid w:val="00B8478A"/>
    <w:rsid w:val="00B94939"/>
    <w:rsid w:val="00BA2427"/>
    <w:rsid w:val="00BA4DDE"/>
    <w:rsid w:val="00BA6022"/>
    <w:rsid w:val="00BC26CE"/>
    <w:rsid w:val="00C01CD0"/>
    <w:rsid w:val="00C23ED8"/>
    <w:rsid w:val="00C25D99"/>
    <w:rsid w:val="00C44299"/>
    <w:rsid w:val="00CD3A83"/>
    <w:rsid w:val="00CD5BB2"/>
    <w:rsid w:val="00D318EA"/>
    <w:rsid w:val="00D4475A"/>
    <w:rsid w:val="00D47318"/>
    <w:rsid w:val="00D65224"/>
    <w:rsid w:val="00D963C5"/>
    <w:rsid w:val="00DA2DAB"/>
    <w:rsid w:val="00DA4926"/>
    <w:rsid w:val="00DE2C88"/>
    <w:rsid w:val="00E07B53"/>
    <w:rsid w:val="00E1411F"/>
    <w:rsid w:val="00EA3750"/>
    <w:rsid w:val="00EA56E5"/>
    <w:rsid w:val="00ED3511"/>
    <w:rsid w:val="00EE2BD7"/>
    <w:rsid w:val="00EE5935"/>
    <w:rsid w:val="00EF2141"/>
    <w:rsid w:val="00EF6EB6"/>
    <w:rsid w:val="00F11D8B"/>
    <w:rsid w:val="00FE2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5A00204"/>
  <w15:docId w15:val="{BA15979D-8A3F-4C53-8034-A332FE51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3C"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88"/>
  </w:style>
  <w:style w:type="paragraph" w:styleId="Footer">
    <w:name w:val="footer"/>
    <w:basedOn w:val="Normal"/>
    <w:link w:val="FooterChar"/>
    <w:uiPriority w:val="99"/>
    <w:unhideWhenUsed/>
    <w:rsid w:val="00A16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88"/>
  </w:style>
  <w:style w:type="paragraph" w:styleId="BalloonText">
    <w:name w:val="Balloon Text"/>
    <w:basedOn w:val="Normal"/>
    <w:link w:val="BalloonTextChar"/>
    <w:uiPriority w:val="99"/>
    <w:semiHidden/>
    <w:unhideWhenUsed/>
    <w:rsid w:val="00A1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88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5249AC"/>
    <w:rPr>
      <w:b/>
      <w:bCs/>
      <w:i/>
      <w:iCs/>
      <w:spacing w:val="5"/>
    </w:rPr>
  </w:style>
  <w:style w:type="character" w:styleId="Hyperlink">
    <w:name w:val="Hyperlink"/>
    <w:rsid w:val="00B75D54"/>
    <w:rPr>
      <w:color w:val="0563C1"/>
      <w:u w:val="single"/>
    </w:rPr>
  </w:style>
  <w:style w:type="character" w:customStyle="1" w:styleId="rynqvb">
    <w:name w:val="rynqvb"/>
    <w:rsid w:val="00773F90"/>
  </w:style>
  <w:style w:type="paragraph" w:styleId="ListParagraph">
    <w:name w:val="List Paragraph"/>
    <w:basedOn w:val="Normal"/>
    <w:uiPriority w:val="34"/>
    <w:qFormat/>
    <w:rsid w:val="00654CAA"/>
    <w:pPr>
      <w:ind w:left="720"/>
      <w:contextualSpacing/>
    </w:pPr>
    <w:rPr>
      <w:rFonts w:eastAsiaTheme="minorEastAsia"/>
      <w:lang w:val="en-US"/>
    </w:rPr>
  </w:style>
  <w:style w:type="paragraph" w:customStyle="1" w:styleId="Default">
    <w:name w:val="Default"/>
    <w:rsid w:val="00654CAA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EC2B-DEA7-458B-BAD8-154CA6F4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gmosidze</dc:creator>
  <cp:lastModifiedBy>Microsoft Office User</cp:lastModifiedBy>
  <cp:revision>18</cp:revision>
  <cp:lastPrinted>2025-09-17T12:19:00Z</cp:lastPrinted>
  <dcterms:created xsi:type="dcterms:W3CDTF">2026-05-18T13:45:00Z</dcterms:created>
  <dcterms:modified xsi:type="dcterms:W3CDTF">2026-05-27T07:39:00Z</dcterms:modified>
</cp:coreProperties>
</file>