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6D2FD6"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FF91E6C" w:rsidR="009815C7" w:rsidRPr="007560C4" w:rsidRDefault="000301F9" w:rsidP="000301F9">
      <w:pPr>
        <w:jc w:val="center"/>
        <w:rPr>
          <w:rFonts w:ascii="Sylfaen" w:hAnsi="Sylfaen" w:cs="Sylfaen"/>
          <w:b/>
          <w:lang w:val="ka-GE"/>
        </w:rPr>
      </w:pPr>
      <w:r w:rsidRPr="00454AFB">
        <w:rPr>
          <w:rFonts w:ascii="Sylfaen" w:hAnsi="Sylfaen" w:cs="Sylfaen"/>
          <w:b/>
          <w:lang w:val="ka-GE"/>
        </w:rPr>
        <w:t>ერთი ხელშეკრულების</w:t>
      </w:r>
      <w:r>
        <w:rPr>
          <w:rFonts w:ascii="Sylfaen" w:hAnsi="Sylfaen" w:cs="Sylfaen"/>
          <w:b/>
          <w:lang w:val="ka-GE"/>
        </w:rPr>
        <w:t xml:space="preserve"> ფარგლებში, Design Build-ის მეთოდით </w:t>
      </w:r>
      <w:r w:rsidR="006D2FD6" w:rsidRPr="006D2FD6">
        <w:rPr>
          <w:rFonts w:ascii="Sylfaen" w:hAnsi="Sylfaen" w:cs="Sylfaen"/>
          <w:b/>
          <w:lang w:val="ka-GE"/>
        </w:rPr>
        <w:t xml:space="preserve">ქ. რუსთავში, არსებულ სატრანსპორტო ბოქსისა და საწყობის რეაბილიტაციის დეტალური საინჟინრო პროექტების </w:t>
      </w:r>
      <w:r w:rsidRPr="00EE3716">
        <w:rPr>
          <w:rFonts w:ascii="Sylfaen" w:hAnsi="Sylfaen" w:cs="Sylfaen"/>
          <w:b/>
          <w:lang w:val="ka-GE"/>
        </w:rPr>
        <w:t>მომზადებისა და მის საფუძველზე სამშენებლო</w:t>
      </w:r>
      <w:r>
        <w:rPr>
          <w:rFonts w:ascii="Sylfaen" w:hAnsi="Sylfaen" w:cs="Sylfaen"/>
          <w:b/>
          <w:lang w:val="ka-GE"/>
        </w:rPr>
        <w:t xml:space="preserve"> </w:t>
      </w:r>
      <w:r w:rsidR="007560C4" w:rsidRPr="007560C4">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4367F828"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bookmarkStart w:id="0" w:name="_Hlk212712919"/>
      <w:r w:rsidR="00232302" w:rsidRPr="00232302">
        <w:rPr>
          <w:rFonts w:ascii="Sylfaen" w:hAnsi="Sylfaen" w:cs="Sylfaen"/>
          <w:lang w:val="ka-GE"/>
        </w:rPr>
        <w:t xml:space="preserve">ერთი ხელშეკრულების ფარგლებში, Design Build-ის მეთოდით ქ. რუსთავში, არსებულ სატრანსპორტო ბოქსისა და საწყობის რეაბილიტაციის დეტალური საინჟინრო პროექტების მომზადებისა და მის საფუძველზე </w:t>
      </w:r>
      <w:r w:rsidR="00945A3C" w:rsidRPr="00945A3C">
        <w:rPr>
          <w:rFonts w:ascii="Sylfaen" w:hAnsi="Sylfaen" w:cs="Sylfaen"/>
          <w:lang w:val="ka-GE"/>
        </w:rPr>
        <w:t xml:space="preserve">სამშენებლო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537EC0B"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8A5B76">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39B4502A" w:rsidR="007A2D15" w:rsidRDefault="008A5B76" w:rsidP="009C5967">
      <w:pPr>
        <w:jc w:val="both"/>
        <w:rPr>
          <w:rFonts w:ascii="Sylfaen" w:hAnsi="Sylfaen" w:cs="Sylfaen"/>
          <w:lang w:val="ka-GE"/>
        </w:rPr>
      </w:pPr>
      <w:r w:rsidRPr="008A5B76">
        <w:rPr>
          <w:rFonts w:ascii="Sylfaen" w:hAnsi="Sylfaen" w:cs="Sylfaen"/>
          <w:lang w:val="ka-GE"/>
        </w:rPr>
        <w:t xml:space="preserve">Design Build-ის მეთოდით </w:t>
      </w:r>
      <w:r w:rsidR="00232302" w:rsidRPr="00232302">
        <w:rPr>
          <w:rFonts w:ascii="Sylfaen" w:hAnsi="Sylfaen" w:cs="Sylfaen"/>
          <w:lang w:val="ka-GE"/>
        </w:rPr>
        <w:t>ქ. რუსთავში, არსებულ სატრანსპორტო ბოქსისა და საწყობის რეაბილიტაციის დეტალური საინჟინრო პროექტების მომზადებისა და მის საფუძველზე სამშენებლო</w:t>
      </w:r>
      <w:r w:rsidR="00232302">
        <w:rPr>
          <w:rFonts w:ascii="Sylfaen" w:hAnsi="Sylfaen" w:cs="Sylfaen"/>
          <w:lang w:val="ka-GE"/>
        </w:rPr>
        <w:t xml:space="preserve"> </w:t>
      </w:r>
      <w:r w:rsidR="007A2D15" w:rsidRPr="000301F9">
        <w:rPr>
          <w:rFonts w:ascii="Sylfaen" w:hAnsi="Sylfaen" w:cs="Sylfaen"/>
          <w:lang w:val="ka-GE"/>
        </w:rPr>
        <w:t>სამუშაოების</w:t>
      </w:r>
      <w:r w:rsidR="007A2D15">
        <w:rPr>
          <w:rFonts w:ascii="Sylfaen" w:hAnsi="Sylfaen" w:cs="Sylfaen"/>
          <w:lang w:val="ka-GE"/>
        </w:rPr>
        <w:t xml:space="preserve"> შესრულება უნდა </w:t>
      </w:r>
      <w:r w:rsidR="007A2D15" w:rsidRPr="00C957FA">
        <w:rPr>
          <w:rFonts w:ascii="Sylfaen" w:hAnsi="Sylfaen" w:cs="Sylfaen"/>
          <w:lang w:val="ka-GE"/>
        </w:rPr>
        <w:t xml:space="preserve">მოხდეს </w:t>
      </w:r>
      <w:r w:rsidR="00232302">
        <w:rPr>
          <w:rFonts w:ascii="Sylfaen" w:hAnsi="Sylfaen" w:cs="Sylfaen"/>
          <w:lang w:val="ka-GE"/>
        </w:rPr>
        <w:t xml:space="preserve">შემდეგ </w:t>
      </w:r>
      <w:r w:rsidR="007A2D15" w:rsidRPr="00C957FA">
        <w:rPr>
          <w:rFonts w:ascii="Sylfaen" w:hAnsi="Sylfaen" w:cs="Sylfaen"/>
          <w:lang w:val="ka-GE"/>
        </w:rPr>
        <w:t>ლოკაციაზე</w:t>
      </w:r>
      <w:r w:rsidR="000231D8" w:rsidRPr="00C957FA">
        <w:rPr>
          <w:rFonts w:ascii="Sylfaen" w:hAnsi="Sylfaen" w:cs="Sylfaen"/>
          <w:lang w:val="ka-GE"/>
        </w:rPr>
        <w:t>:</w:t>
      </w:r>
    </w:p>
    <w:p w14:paraId="63664225" w14:textId="5B039C50" w:rsidR="00232302" w:rsidRPr="00232302" w:rsidRDefault="00232302" w:rsidP="00232302">
      <w:pPr>
        <w:pStyle w:val="ListParagraph"/>
        <w:numPr>
          <w:ilvl w:val="0"/>
          <w:numId w:val="8"/>
        </w:numPr>
        <w:rPr>
          <w:rFonts w:ascii="Sylfaen" w:hAnsi="Sylfaen" w:cs="Sylfaen"/>
          <w:lang w:val="ka-GE"/>
        </w:rPr>
      </w:pPr>
      <w:r w:rsidRPr="00232302">
        <w:rPr>
          <w:rFonts w:ascii="Sylfaen" w:hAnsi="Sylfaen" w:cs="Sylfaen"/>
          <w:lang w:val="ka-GE"/>
        </w:rPr>
        <w:t>ქ. რუსთავი, წმინდა ნინოს №5-ის მიმდებარე ტერიტორია "საქმიანი ეზო"</w:t>
      </w:r>
      <w:r>
        <w:rPr>
          <w:rFonts w:ascii="Sylfaen" w:hAnsi="Sylfaen" w:cs="Sylfaen"/>
          <w:lang w:val="ka-GE"/>
        </w:rPr>
        <w:t>.</w:t>
      </w:r>
    </w:p>
    <w:p w14:paraId="13340DC1" w14:textId="5F40112D" w:rsidR="009C5967" w:rsidRPr="009C5967" w:rsidRDefault="0081037D" w:rsidP="009C5967">
      <w:pPr>
        <w:jc w:val="both"/>
        <w:rPr>
          <w:rFonts w:ascii="Sylfaen" w:hAnsi="Sylfaen" w:cs="Sylfaen"/>
          <w:lang w:val="ka-GE"/>
        </w:rPr>
      </w:pPr>
      <w:r w:rsidRPr="009C5967">
        <w:rPr>
          <w:rFonts w:ascii="Sylfaen" w:hAnsi="Sylfaen" w:cs="Sylfaen"/>
          <w:lang w:val="ka-GE"/>
        </w:rPr>
        <w:t>Design Build</w:t>
      </w:r>
      <w:r>
        <w:rPr>
          <w:rFonts w:ascii="Sylfaen" w:hAnsi="Sylfaen" w:cs="Sylfaen"/>
          <w:lang w:val="ka-GE"/>
        </w:rPr>
        <w:t>-ის მეთოდი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27F8CB13"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3</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1031BA26"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448CB834" w14:textId="380E3A16" w:rsidR="00B20B40" w:rsidRPr="00337F7E" w:rsidRDefault="00B20B40"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სამშენებლო სამუშოაების წარმოება -</w:t>
      </w:r>
      <w:r w:rsidRPr="00337F7E">
        <w:rPr>
          <w:rFonts w:ascii="Sylfaen" w:hAnsi="Sylfaen" w:cs="Sylfaen"/>
          <w:color w:val="222222"/>
          <w:shd w:val="clear" w:color="auto" w:fill="FFFFFF"/>
          <w:lang w:val="ka-GE"/>
        </w:rPr>
        <w:t xml:space="preserve"> </w:t>
      </w:r>
      <w:r w:rsidR="00BE17EC">
        <w:rPr>
          <w:rFonts w:ascii="Sylfaen" w:hAnsi="Sylfaen" w:cs="Sylfaen"/>
          <w:color w:val="222222"/>
          <w:shd w:val="clear" w:color="auto" w:fill="FFFFFF"/>
          <w:lang w:val="ka-GE"/>
        </w:rPr>
        <w:t>2</w:t>
      </w:r>
      <w:r w:rsidR="004C4321" w:rsidRPr="00337F7E">
        <w:rPr>
          <w:rFonts w:ascii="Sylfaen" w:hAnsi="Sylfaen" w:cs="Sylfaen"/>
          <w:color w:val="222222"/>
          <w:shd w:val="clear" w:color="auto" w:fill="FFFFFF"/>
          <w:lang w:val="ka-GE"/>
        </w:rPr>
        <w:t xml:space="preserve"> თვე.</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4E02DAB1" w14:textId="3D4B6B70" w:rsidR="001173C9" w:rsidRPr="007B0071" w:rsidRDefault="007D2A4C" w:rsidP="00483D3E">
      <w:pPr>
        <w:jc w:val="both"/>
        <w:rPr>
          <w:rFonts w:ascii="Sylfaen" w:hAnsi="Sylfaen"/>
          <w:lang w:val="ka-GE"/>
        </w:rPr>
      </w:pPr>
      <w:r>
        <w:rPr>
          <w:rFonts w:ascii="Sylfaen" w:hAnsi="Sylfaen"/>
          <w:lang w:val="ka-GE"/>
        </w:rPr>
        <w:lastRenderedPageBreak/>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 xml:space="preserve">არ არის ვალდებული </w:t>
      </w:r>
      <w:r w:rsidR="00CC4789" w:rsidRPr="007B0071">
        <w:rPr>
          <w:rFonts w:ascii="Sylfaen" w:hAnsi="Sylfaen"/>
          <w:lang w:val="ka-GE"/>
        </w:rPr>
        <w:lastRenderedPageBreak/>
        <w:t>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5"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1174A33E" w14:textId="77777777" w:rsidR="00232302" w:rsidRPr="00FD47D1" w:rsidRDefault="00232302" w:rsidP="00232302">
      <w:pPr>
        <w:spacing w:after="0"/>
        <w:jc w:val="both"/>
        <w:rPr>
          <w:rFonts w:ascii="Sylfaen" w:hAnsi="Sylfaen"/>
          <w:lang w:val="ka-GE"/>
        </w:rPr>
      </w:pPr>
      <w:r>
        <w:rPr>
          <w:rFonts w:ascii="Sylfaen" w:hAnsi="Sylfaen"/>
          <w:lang w:val="ka-GE"/>
        </w:rPr>
        <w:t xml:space="preserve">გიორგი დარსაველიძე, </w:t>
      </w:r>
      <w:r w:rsidRPr="00696A50">
        <w:rPr>
          <w:rFonts w:ascii="Sylfaen" w:hAnsi="Sylfaen"/>
          <w:lang w:val="ka-GE"/>
        </w:rPr>
        <w:t xml:space="preserve">მობ: +995 </w:t>
      </w:r>
      <w:r>
        <w:rPr>
          <w:rFonts w:ascii="Sylfaen" w:hAnsi="Sylfaen"/>
          <w:lang w:val="ka-GE"/>
        </w:rPr>
        <w:t>555 44 60 02</w:t>
      </w:r>
      <w:r w:rsidRPr="00696A50">
        <w:rPr>
          <w:rFonts w:ascii="Sylfaen" w:hAnsi="Sylfaen"/>
          <w:lang w:val="ka-GE"/>
        </w:rPr>
        <w:t xml:space="preserve">, E-mail: </w:t>
      </w:r>
      <w:r w:rsidRPr="00EE05A3">
        <w:rPr>
          <w:rStyle w:val="Hyperlink"/>
          <w:rFonts w:ascii="Sylfaen" w:hAnsi="Sylfaen"/>
          <w:lang w:val="ka-GE"/>
        </w:rPr>
        <w:t>gdarsavelidze@gwp.ge</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6"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7"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18"/>
      <w:footerReference w:type="default" r:id="rId1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7490" w14:textId="77777777" w:rsidR="002A557B" w:rsidRDefault="002A557B" w:rsidP="007902EA">
      <w:pPr>
        <w:spacing w:after="0" w:line="240" w:lineRule="auto"/>
      </w:pPr>
      <w:r>
        <w:separator/>
      </w:r>
    </w:p>
  </w:endnote>
  <w:endnote w:type="continuationSeparator" w:id="0">
    <w:p w14:paraId="13D0FA32" w14:textId="77777777" w:rsidR="002A557B" w:rsidRDefault="002A557B"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58E0" w14:textId="77777777" w:rsidR="002A557B" w:rsidRDefault="002A557B" w:rsidP="007902EA">
      <w:pPr>
        <w:spacing w:after="0" w:line="240" w:lineRule="auto"/>
      </w:pPr>
      <w:r>
        <w:separator/>
      </w:r>
    </w:p>
  </w:footnote>
  <w:footnote w:type="continuationSeparator" w:id="0">
    <w:p w14:paraId="5BE5CD86" w14:textId="77777777" w:rsidR="002A557B" w:rsidRDefault="002A557B"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82D9F"/>
    <w:multiLevelType w:val="hybridMultilevel"/>
    <w:tmpl w:val="CB7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4"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6"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7"/>
  </w:num>
  <w:num w:numId="2" w16cid:durableId="2064521918">
    <w:abstractNumId w:val="1"/>
  </w:num>
  <w:num w:numId="3" w16cid:durableId="1042897308">
    <w:abstractNumId w:val="3"/>
  </w:num>
  <w:num w:numId="4" w16cid:durableId="108740757">
    <w:abstractNumId w:val="6"/>
  </w:num>
  <w:num w:numId="5" w16cid:durableId="2145613716">
    <w:abstractNumId w:val="5"/>
  </w:num>
  <w:num w:numId="6" w16cid:durableId="1044015154">
    <w:abstractNumId w:val="4"/>
  </w:num>
  <w:num w:numId="7" w16cid:durableId="1648782765">
    <w:abstractNumId w:val="0"/>
  </w:num>
  <w:num w:numId="8" w16cid:durableId="19379751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31D8"/>
    <w:rsid w:val="00024394"/>
    <w:rsid w:val="00026B30"/>
    <w:rsid w:val="00027D70"/>
    <w:rsid w:val="000301F9"/>
    <w:rsid w:val="00031452"/>
    <w:rsid w:val="00031E8F"/>
    <w:rsid w:val="000353F8"/>
    <w:rsid w:val="00036CF5"/>
    <w:rsid w:val="0004037C"/>
    <w:rsid w:val="000405EC"/>
    <w:rsid w:val="00046082"/>
    <w:rsid w:val="0004786C"/>
    <w:rsid w:val="00051E54"/>
    <w:rsid w:val="00053EAB"/>
    <w:rsid w:val="0005435C"/>
    <w:rsid w:val="00055E1E"/>
    <w:rsid w:val="00056A31"/>
    <w:rsid w:val="00064AB9"/>
    <w:rsid w:val="00072474"/>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2302"/>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557B"/>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4F1C3E"/>
    <w:rsid w:val="00507C2F"/>
    <w:rsid w:val="005111AB"/>
    <w:rsid w:val="00514D86"/>
    <w:rsid w:val="0052656B"/>
    <w:rsid w:val="00527C0A"/>
    <w:rsid w:val="00540038"/>
    <w:rsid w:val="00543DF0"/>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50D8"/>
    <w:rsid w:val="006C1436"/>
    <w:rsid w:val="006C395D"/>
    <w:rsid w:val="006C7D3F"/>
    <w:rsid w:val="006C7E00"/>
    <w:rsid w:val="006D054A"/>
    <w:rsid w:val="006D2FD6"/>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05793"/>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5B76"/>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076E"/>
    <w:rsid w:val="00972820"/>
    <w:rsid w:val="00976A22"/>
    <w:rsid w:val="009804B1"/>
    <w:rsid w:val="00981499"/>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56749"/>
    <w:rsid w:val="00C67999"/>
    <w:rsid w:val="00C73981"/>
    <w:rsid w:val="00C761CC"/>
    <w:rsid w:val="00C76391"/>
    <w:rsid w:val="00C83494"/>
    <w:rsid w:val="00C86CD0"/>
    <w:rsid w:val="00C91AFC"/>
    <w:rsid w:val="00C9205D"/>
    <w:rsid w:val="00C957FA"/>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hyperlink" Target="mailto:mlomtatidze@gwp.ge" TargetMode="External"/><Relationship Id="rId2" Type="http://schemas.openxmlformats.org/officeDocument/2006/relationships/customXml" Target="../customXml/item2.xml"/><Relationship Id="rId16" Type="http://schemas.openxmlformats.org/officeDocument/2006/relationships/hyperlink" Target="mailto:msilagadze@gwp.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enders.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2.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3.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customXml/itemProps4.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7</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66</cp:revision>
  <cp:lastPrinted>2015-07-27T06:36:00Z</cp:lastPrinted>
  <dcterms:created xsi:type="dcterms:W3CDTF">2017-02-28T15:04:00Z</dcterms:created>
  <dcterms:modified xsi:type="dcterms:W3CDTF">2026-05-22T07:32:00Z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