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3531CA" w:rsidRDefault="006E1B79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3531CA">
        <w:rPr>
          <w:rFonts w:ascii="Sylfaen" w:hAnsi="Sylfaen" w:cs="Sylfaen"/>
          <w:b/>
          <w:noProof/>
          <w:sz w:val="24"/>
          <w:szCs w:val="24"/>
          <w:lang w:val="ka-GE"/>
        </w:rPr>
        <w:t>ბანკომატის ნაწილების</w:t>
      </w:r>
      <w:r w:rsidR="00E64908" w:rsidRPr="003531C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D40E1" w:rsidRPr="003531CA">
        <w:rPr>
          <w:rFonts w:ascii="Sylfaen" w:hAnsi="Sylfaen" w:cs="Sylfaen"/>
          <w:b/>
          <w:sz w:val="24"/>
          <w:szCs w:val="24"/>
          <w:lang w:val="ka-GE"/>
        </w:rPr>
        <w:t>შესყიდვა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99631B">
        <w:rPr>
          <w:rFonts w:ascii="Sylfaen" w:hAnsi="Sylfaen" w:cs="Sylfaen"/>
          <w:b/>
          <w:noProof/>
          <w:sz w:val="24"/>
          <w:szCs w:val="24"/>
        </w:rPr>
        <w:t>2</w:t>
      </w:r>
      <w:r w:rsidR="0073765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B01949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633FEC" w:rsidRDefault="00371800" w:rsidP="00753D7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D936B4" w:rsidP="00753D74">
      <w:pPr>
        <w:spacing w:after="0" w:line="240" w:lineRule="auto"/>
        <w:ind w:hanging="36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</w:rPr>
        <w:t xml:space="preserve">      </w:t>
      </w:r>
      <w:r w:rsidR="000B550F"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1469FE">
        <w:rPr>
          <w:rFonts w:ascii="Sylfaen" w:hAnsi="Sylfaen" w:cs="Sylfaen"/>
          <w:noProof/>
          <w:lang w:val="ka-GE"/>
        </w:rPr>
        <w:t>.</w:t>
      </w:r>
      <w:r w:rsidR="000B550F" w:rsidRPr="00633FEC">
        <w:rPr>
          <w:rFonts w:ascii="Sylfaen" w:hAnsi="Sylfaen" w:cs="Sylfaen"/>
          <w:noProof/>
          <w:lang w:val="ka-GE"/>
        </w:rPr>
        <w:t xml:space="preserve"> </w:t>
      </w:r>
      <w:r w:rsidR="00CB1993">
        <w:rPr>
          <w:rFonts w:ascii="Sylfaen" w:hAnsi="Sylfaen" w:cs="Sylfaen"/>
          <w:noProof/>
          <w:lang w:val="ka-GE"/>
        </w:rPr>
        <w:t>ბანკომატის</w:t>
      </w:r>
      <w:r>
        <w:rPr>
          <w:rFonts w:ascii="Sylfaen" w:hAnsi="Sylfaen" w:cs="Sylfaen"/>
          <w:noProof/>
          <w:lang w:val="ka-GE"/>
        </w:rPr>
        <w:t xml:space="preserve"> (</w:t>
      </w:r>
      <w:r>
        <w:rPr>
          <w:rFonts w:ascii="Sylfaen" w:hAnsi="Sylfaen" w:cs="Sylfaen"/>
          <w:noProof/>
        </w:rPr>
        <w:t>Wincor)</w:t>
      </w:r>
      <w:r w:rsidR="00CB1993">
        <w:rPr>
          <w:rFonts w:ascii="Sylfaen" w:hAnsi="Sylfaen" w:cs="Sylfaen"/>
          <w:noProof/>
          <w:lang w:val="ka-GE"/>
        </w:rPr>
        <w:t xml:space="preserve"> ნაწილების</w:t>
      </w:r>
      <w:r w:rsidR="00ED40E1" w:rsidRPr="00633FEC">
        <w:rPr>
          <w:rFonts w:ascii="Sylfaen" w:hAnsi="Sylfaen"/>
          <w:lang w:val="ka-GE"/>
        </w:rPr>
        <w:t xml:space="preserve"> 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753D74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542D1" w:rsidRPr="00633FEC">
        <w:rPr>
          <w:rFonts w:ascii="Sylfaen" w:hAnsi="Sylfaen"/>
          <w:lang w:val="ka-GE"/>
        </w:rPr>
        <w:t>სპეციფიკაცი</w:t>
      </w:r>
      <w:r w:rsidR="00476B04">
        <w:rPr>
          <w:rFonts w:ascii="Sylfaen" w:hAnsi="Sylfaen"/>
          <w:lang w:val="ka-GE"/>
        </w:rPr>
        <w:t>ები</w:t>
      </w:r>
      <w:r w:rsidR="005542D1" w:rsidRPr="00633FEC">
        <w:rPr>
          <w:rFonts w:ascii="Sylfaen" w:hAnsi="Sylfaen"/>
          <w:lang w:val="ka-GE"/>
        </w:rPr>
        <w:t>ს</w:t>
      </w:r>
      <w:r w:rsidR="00972A80" w:rsidRPr="00633FEC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>დანართი N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D55E51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59435B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762CE3" w:rsidRPr="00633FEC" w:rsidRDefault="00762CE3" w:rsidP="00753D74">
      <w:pPr>
        <w:spacing w:after="0" w:line="240" w:lineRule="auto"/>
        <w:ind w:hanging="360"/>
        <w:contextualSpacing/>
        <w:jc w:val="both"/>
        <w:rPr>
          <w:rFonts w:ascii="Sylfaen" w:hAnsi="Sylfaen"/>
          <w:lang w:val="ka-GE"/>
        </w:rPr>
      </w:pPr>
    </w:p>
    <w:p w:rsidR="0045509C" w:rsidRDefault="0045509C" w:rsidP="0045509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45509C" w:rsidRPr="00B86F50" w:rsidRDefault="0045509C" w:rsidP="004550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45509C" w:rsidRDefault="0045509C" w:rsidP="0045509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45509C" w:rsidRPr="00AA2D24" w:rsidRDefault="0045509C" w:rsidP="0045509C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45509C" w:rsidRDefault="0045509C" w:rsidP="0045509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45509C" w:rsidRPr="00393F2A" w:rsidRDefault="0045509C" w:rsidP="0045509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45509C" w:rsidRPr="008F18F1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45509C" w:rsidRPr="00393F2A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45509C" w:rsidRPr="000A1DF7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A1DF7">
        <w:rPr>
          <w:rFonts w:ascii="Sylfaen" w:hAnsi="Sylfaen" w:cs="Sylfaen"/>
        </w:rPr>
        <w:t>კომპანიის</w:t>
      </w:r>
      <w:r w:rsidRPr="00E64908">
        <w:t xml:space="preserve"> </w:t>
      </w:r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r w:rsidRPr="00E64908">
        <w:t xml:space="preserve"> (</w:t>
      </w:r>
      <w:r w:rsidRPr="000A1DF7">
        <w:rPr>
          <w:rFonts w:ascii="Sylfaen" w:hAnsi="Sylfaen" w:cs="Sylfaen"/>
        </w:rPr>
        <w:t>ასეთის</w:t>
      </w:r>
      <w:r w:rsidRPr="00E64908">
        <w:t xml:space="preserve"> </w:t>
      </w:r>
      <w:r w:rsidRPr="000A1DF7">
        <w:rPr>
          <w:rFonts w:ascii="Sylfaen" w:hAnsi="Sylfaen" w:cs="Sylfaen"/>
        </w:rPr>
        <w:t>არსებობის</w:t>
      </w:r>
      <w:r w:rsidRPr="00E64908">
        <w:t xml:space="preserve"> </w:t>
      </w:r>
      <w:r w:rsidRPr="000A1DF7">
        <w:rPr>
          <w:rFonts w:ascii="Sylfaen" w:hAnsi="Sylfaen" w:cs="Sylfaen"/>
        </w:rPr>
        <w:t>შემთხვევაში</w:t>
      </w:r>
      <w:r w:rsidRPr="00E64908">
        <w:t>);</w:t>
      </w:r>
    </w:p>
    <w:p w:rsidR="0045509C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45509C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45509C" w:rsidRPr="00CD14A8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45509C" w:rsidRDefault="0045509C" w:rsidP="0045509C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45509C" w:rsidRPr="00633FEC" w:rsidRDefault="0045509C" w:rsidP="0045509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45509C" w:rsidRPr="00633FEC" w:rsidRDefault="0045509C" w:rsidP="0045509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45509C" w:rsidRDefault="0045509C" w:rsidP="0045509C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noProof/>
          <w:lang w:val="ka-GE"/>
        </w:rPr>
        <w:t xml:space="preserve">        4</w:t>
      </w:r>
      <w:r w:rsidRPr="00633FEC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633FEC">
        <w:rPr>
          <w:rFonts w:ascii="Sylfaen" w:hAnsi="Sylfaen"/>
          <w:noProof/>
          <w:lang w:val="ka-GE"/>
        </w:rPr>
        <w:t xml:space="preserve"> </w:t>
      </w:r>
      <w:r w:rsidRPr="00633FEC">
        <w:rPr>
          <w:rFonts w:ascii="Sylfaen" w:hAnsi="Sylfaen"/>
          <w:lang w:val="ka-GE"/>
        </w:rPr>
        <w:t xml:space="preserve">საქონლის მოწოდება უნდა განხორციელდეს  შემდეგ მისამართზე: ქ.თბილისი, სერგო გუჯეჯიანის პირველი ჩიხი </w:t>
      </w:r>
      <w:r w:rsidRPr="002970CD">
        <w:rPr>
          <w:rFonts w:ascii="Sylfaen" w:hAnsi="Sylfaen"/>
          <w:lang w:val="ka-GE"/>
        </w:rPr>
        <w:t>N 12,</w:t>
      </w:r>
      <w:r w:rsidRPr="00633FEC">
        <w:rPr>
          <w:rFonts w:ascii="Sylfaen" w:hAnsi="Sylfaen"/>
          <w:lang w:val="ka-GE"/>
        </w:rPr>
        <w:t xml:space="preserve"> სს „ლიბერთი ბანკი“-ს </w:t>
      </w:r>
      <w:r>
        <w:rPr>
          <w:rFonts w:ascii="Sylfaen" w:hAnsi="Sylfaen"/>
          <w:lang w:val="ka-GE"/>
        </w:rPr>
        <w:t>სასაწყობე ფართი;</w:t>
      </w:r>
    </w:p>
    <w:p w:rsidR="0045509C" w:rsidRDefault="0045509C" w:rsidP="0045509C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</w:t>
      </w:r>
    </w:p>
    <w:p w:rsidR="0045509C" w:rsidRDefault="0045509C" w:rsidP="0045509C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შენიშვნა:</w:t>
      </w:r>
    </w:p>
    <w:p w:rsidR="0045509C" w:rsidRDefault="0045509C" w:rsidP="0045509C">
      <w:pPr>
        <w:spacing w:after="0" w:line="240" w:lineRule="auto"/>
        <w:ind w:hanging="450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45509C" w:rsidRDefault="0045509C" w:rsidP="0045509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5509C" w:rsidRDefault="0045509C" w:rsidP="0045509C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633FEC">
        <w:rPr>
          <w:rFonts w:ascii="Sylfaen" w:hAnsi="Sylfaen" w:cs="Sylfaen"/>
          <w:b/>
          <w:u w:val="single"/>
          <w:lang w:val="ka-GE"/>
        </w:rPr>
        <w:t>წინადადების ფასი და ანგარიშსწორების პირობები</w:t>
      </w:r>
    </w:p>
    <w:p w:rsidR="0045509C" w:rsidRDefault="0045509C" w:rsidP="0045509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>
        <w:rPr>
          <w:rFonts w:ascii="Sylfaen" w:hAnsi="Sylfaen" w:cs="Sylfaen"/>
          <w:lang w:val="ka-GE"/>
        </w:rPr>
        <w:t>ხარჯები, რომლებიც სატენდერო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წინადადების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ფასში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დაექვემდებარება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ანაზღაურებას</w:t>
      </w:r>
      <w:r>
        <w:rPr>
          <w:lang w:val="ka-GE"/>
        </w:rPr>
        <w:t xml:space="preserve">; </w:t>
      </w:r>
    </w:p>
    <w:p w:rsidR="0045509C" w:rsidRDefault="0045509C" w:rsidP="0045509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 xml:space="preserve">2.ბანკის 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შესახებ გაფორმებული </w:t>
      </w:r>
      <w:r>
        <w:rPr>
          <w:rFonts w:ascii="Sylfaen" w:hAnsi="Sylfaen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 წარმოდგენიდან  10 (ათი) საბანკო დღის განმავლობაში;</w:t>
      </w:r>
    </w:p>
    <w:p w:rsidR="0045509C" w:rsidRDefault="0045509C" w:rsidP="0045509C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73765C" w:rsidRDefault="0073765C" w:rsidP="0073765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45509C" w:rsidRPr="00633FEC" w:rsidRDefault="0045509C" w:rsidP="0045509C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</w:p>
    <w:p w:rsidR="0045509C" w:rsidRPr="00CD14A8" w:rsidRDefault="0045509C" w:rsidP="0045509C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6.1.პრეტენდენტის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6.2.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6.3. გამარჯვებულ პრეტენდენტთან ხელშეკრულება გაფორმდება, ხელშეკრულების დრაფტის  </w:t>
      </w:r>
      <w:r>
        <w:rPr>
          <w:rFonts w:ascii="Sylfaen" w:hAnsi="Sylfaen" w:cs="Sylfaen"/>
          <w:b/>
          <w:lang w:val="ka-GE"/>
        </w:rPr>
        <w:t>(დანართი #2</w:t>
      </w:r>
      <w:r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>
        <w:rPr>
          <w:rFonts w:ascii="Sylfaen" w:hAnsi="Sylfaen" w:cs="Sylfaen"/>
          <w:b/>
          <w:lang w:val="ka-GE"/>
        </w:rPr>
        <w:t>6</w:t>
      </w:r>
      <w:r w:rsidRPr="00235DFD">
        <w:rPr>
          <w:rFonts w:ascii="Sylfaen" w:hAnsi="Sylfaen" w:cs="Sylfaen"/>
          <w:b/>
          <w:lang w:val="ka-GE"/>
        </w:rPr>
        <w:t>.4.პრეტენდენტი ვალდებულია წარმოადგინოს პროდუქციის certificate of origin და MAF (მწარმოებლის ავტორიზაციის ფორმა);</w:t>
      </w: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45509C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45509C" w:rsidRPr="00C62DE3" w:rsidRDefault="0045509C" w:rsidP="0045509C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45509C" w:rsidRPr="009D787C" w:rsidRDefault="0045509C" w:rsidP="0045509C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45509C" w:rsidRPr="009D787C" w:rsidRDefault="0045509C" w:rsidP="0045509C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3765C">
        <w:rPr>
          <w:rFonts w:ascii="Sylfaen" w:hAnsi="Sylfaen"/>
          <w:b/>
          <w:lang w:val="ka-GE"/>
        </w:rPr>
        <w:t>2026 წლის 04</w:t>
      </w:r>
      <w:r>
        <w:rPr>
          <w:rFonts w:ascii="Sylfaen" w:hAnsi="Sylfaen"/>
          <w:b/>
          <w:lang w:val="ka-GE"/>
        </w:rPr>
        <w:t xml:space="preserve"> </w:t>
      </w:r>
      <w:r w:rsidR="0073765C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45509C" w:rsidRDefault="0045509C" w:rsidP="0045509C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73765C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:rsidR="0045509C" w:rsidRPr="00873386" w:rsidRDefault="0045509C" w:rsidP="0045509C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45509C" w:rsidRPr="00633FEC" w:rsidRDefault="0045509C" w:rsidP="0045509C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:rsidR="0045509C" w:rsidRPr="00633FEC" w:rsidRDefault="0045509C" w:rsidP="0045509C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9C5421" w:rsidRPr="00633FEC" w:rsidRDefault="009C5421" w:rsidP="0045509C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79" w:rsidRDefault="000F5B79" w:rsidP="00190B92">
      <w:pPr>
        <w:spacing w:after="0" w:line="240" w:lineRule="auto"/>
      </w:pPr>
      <w:r>
        <w:separator/>
      </w:r>
    </w:p>
  </w:endnote>
  <w:endnote w:type="continuationSeparator" w:id="0">
    <w:p w:rsidR="000F5B79" w:rsidRDefault="000F5B79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A850CA" w:rsidP="009A62AB">
    <w:pPr>
      <w:pStyle w:val="Footer"/>
      <w:jc w:val="right"/>
    </w:pPr>
    <w:fldSimple w:instr=" DOCPROPERTY bjFoot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73765C">
      <w:rPr>
        <w:rFonts w:ascii="Sylfaen" w:hAnsi="Sylfaen"/>
        <w:noProof/>
        <w:sz w:val="16"/>
        <w:szCs w:val="16"/>
      </w:rPr>
      <w:t>1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79" w:rsidRDefault="000F5B79" w:rsidP="00190B92">
      <w:pPr>
        <w:spacing w:after="0" w:line="240" w:lineRule="auto"/>
      </w:pPr>
      <w:r>
        <w:separator/>
      </w:r>
    </w:p>
  </w:footnote>
  <w:footnote w:type="continuationSeparator" w:id="0">
    <w:p w:rsidR="000F5B79" w:rsidRDefault="000F5B79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A850CA" w:rsidP="009A62AB">
    <w:pPr>
      <w:pStyle w:val="Header"/>
      <w:jc w:val="right"/>
    </w:pPr>
    <w:fldSimple w:instr=" DOCPROPERTY bjHeaderEven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A850CA" w:rsidP="009A62AB">
    <w:pPr>
      <w:pStyle w:val="Header"/>
      <w:jc w:val="right"/>
    </w:pPr>
    <w:fldSimple w:instr=" DOCPROPERTY bjHeaderBoth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A850CA" w:rsidP="009A62AB">
    <w:pPr>
      <w:pStyle w:val="Header"/>
      <w:jc w:val="right"/>
    </w:pPr>
    <w:fldSimple w:instr=" DOCPROPERTY bjHeaderFirstPageDocProperty \* MERGEFORMAT " w:fldLock="1">
      <w:r w:rsidR="009A62AB" w:rsidRPr="009A62A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4B5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E7A"/>
    <w:rsid w:val="00053137"/>
    <w:rsid w:val="00053CC9"/>
    <w:rsid w:val="00054048"/>
    <w:rsid w:val="00061173"/>
    <w:rsid w:val="00061F27"/>
    <w:rsid w:val="00067894"/>
    <w:rsid w:val="000678F2"/>
    <w:rsid w:val="00067AB5"/>
    <w:rsid w:val="0007121F"/>
    <w:rsid w:val="000722A6"/>
    <w:rsid w:val="00073087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555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5B79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69FE"/>
    <w:rsid w:val="00147567"/>
    <w:rsid w:val="001475AE"/>
    <w:rsid w:val="00152075"/>
    <w:rsid w:val="00153081"/>
    <w:rsid w:val="00155412"/>
    <w:rsid w:val="0015584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E0C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505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9E0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59DE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1CA"/>
    <w:rsid w:val="00353E17"/>
    <w:rsid w:val="00354180"/>
    <w:rsid w:val="00356152"/>
    <w:rsid w:val="00356BC1"/>
    <w:rsid w:val="00357C43"/>
    <w:rsid w:val="0036092E"/>
    <w:rsid w:val="003611FC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164B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09C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35B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15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3F9C"/>
    <w:rsid w:val="00726887"/>
    <w:rsid w:val="00730630"/>
    <w:rsid w:val="007314DB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3765C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A87"/>
    <w:rsid w:val="00753CFD"/>
    <w:rsid w:val="00753D74"/>
    <w:rsid w:val="0075498F"/>
    <w:rsid w:val="00756111"/>
    <w:rsid w:val="0076233C"/>
    <w:rsid w:val="00762ACE"/>
    <w:rsid w:val="00762C2D"/>
    <w:rsid w:val="00762CE3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5F0"/>
    <w:rsid w:val="007A2C8B"/>
    <w:rsid w:val="007A4065"/>
    <w:rsid w:val="007A4448"/>
    <w:rsid w:val="007A5FAF"/>
    <w:rsid w:val="007A6009"/>
    <w:rsid w:val="007A7002"/>
    <w:rsid w:val="007A7508"/>
    <w:rsid w:val="007A7DE6"/>
    <w:rsid w:val="007B094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7F787E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F86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9631B"/>
    <w:rsid w:val="009975F4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DDA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214A"/>
    <w:rsid w:val="00A838D8"/>
    <w:rsid w:val="00A84246"/>
    <w:rsid w:val="00A84484"/>
    <w:rsid w:val="00A847FF"/>
    <w:rsid w:val="00A850CA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4E18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3DBC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3E67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301B3"/>
    <w:rsid w:val="00C3114B"/>
    <w:rsid w:val="00C31B2C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A67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6B4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29FF"/>
    <w:rsid w:val="00DB3A1C"/>
    <w:rsid w:val="00DB4BCC"/>
    <w:rsid w:val="00DB4C7F"/>
    <w:rsid w:val="00DB5375"/>
    <w:rsid w:val="00DC017B"/>
    <w:rsid w:val="00DC0203"/>
    <w:rsid w:val="00DC160B"/>
    <w:rsid w:val="00DC1BAF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E4"/>
    <w:rsid w:val="00E1358D"/>
    <w:rsid w:val="00E14E21"/>
    <w:rsid w:val="00E14F09"/>
    <w:rsid w:val="00E16FE5"/>
    <w:rsid w:val="00E17968"/>
    <w:rsid w:val="00E17C19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13A7"/>
    <w:rsid w:val="00EA331B"/>
    <w:rsid w:val="00EA4702"/>
    <w:rsid w:val="00EA47A3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5B24"/>
    <w:rsid w:val="00F464A3"/>
    <w:rsid w:val="00F47FCA"/>
    <w:rsid w:val="00F5030F"/>
    <w:rsid w:val="00F50624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075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3E4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02BFD3E"/>
  <w15:docId w15:val="{5FED7653-6D4C-4193-91F9-16EAB17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9F156CB-16A9-45CB-947D-1AA0347A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2954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256</cp:revision>
  <cp:lastPrinted>2019-06-18T08:18:00Z</cp:lastPrinted>
  <dcterms:created xsi:type="dcterms:W3CDTF">2016-05-18T07:50:00Z</dcterms:created>
  <dcterms:modified xsi:type="dcterms:W3CDTF">2026-05-28T07:07:00Z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