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2FC05316" w:rsidR="009815C7" w:rsidRPr="007B0071" w:rsidRDefault="00EA0007" w:rsidP="00373F3E">
      <w:pPr>
        <w:spacing w:after="0" w:line="240" w:lineRule="auto"/>
        <w:jc w:val="center"/>
        <w:rPr>
          <w:rFonts w:ascii="Sylfaen" w:hAnsi="Sylfaen" w:cs="Sylfaen"/>
          <w:b/>
          <w:lang w:val="ka-GE"/>
        </w:rPr>
      </w:pPr>
      <w:r w:rsidRPr="00EA0007">
        <w:rPr>
          <w:rFonts w:ascii="Sylfaen" w:hAnsi="Sylfaen" w:cs="Sylfaen"/>
          <w:b/>
          <w:lang w:val="ka-GE"/>
        </w:rPr>
        <w:t>ჟინვალის წყალსაცავის დალექვის ბათიმეტრიული კვლევის</w:t>
      </w:r>
      <w:r w:rsidR="0061352A" w:rsidRPr="0061352A">
        <w:rPr>
          <w:rFonts w:ascii="Sylfaen" w:hAnsi="Sylfaen" w:cs="Sylfaen"/>
          <w:b/>
          <w:lang w:val="ka-GE"/>
        </w:rPr>
        <w:t xml:space="preserve"> მომსახურეობის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580D4E90" w14:textId="08B70B62" w:rsidR="00665C42" w:rsidRPr="00ED6A06" w:rsidRDefault="00665C42" w:rsidP="009D07D1">
      <w:pPr>
        <w:spacing w:after="0" w:line="360" w:lineRule="auto"/>
        <w:jc w:val="center"/>
        <w:rPr>
          <w:rFonts w:ascii="AcadNusx" w:hAnsi="AcadNusx"/>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02237F4"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EA0007" w:rsidRPr="00EA0007">
        <w:rPr>
          <w:rFonts w:ascii="Sylfaen" w:hAnsi="Sylfaen" w:cs="Sylfaen"/>
          <w:lang w:val="ka-GE"/>
        </w:rPr>
        <w:t>ჟინვალის წყალსაცავის დალექვის ბათიმეტრიული კვლევის</w:t>
      </w:r>
      <w:r w:rsidR="00EA0007">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2EF07426" w14:textId="77777777" w:rsidR="005B31BA" w:rsidRPr="005B31BA" w:rsidRDefault="005B31BA" w:rsidP="005B31BA">
      <w:pPr>
        <w:spacing w:after="0" w:line="240" w:lineRule="auto"/>
        <w:jc w:val="both"/>
        <w:rPr>
          <w:rFonts w:ascii="Sylfaen" w:hAnsi="Sylfaen" w:cs="Sylfaen"/>
          <w:b/>
          <w:bCs/>
          <w:lang w:val="ka-GE"/>
        </w:rPr>
      </w:pPr>
      <w:r w:rsidRPr="005B31BA">
        <w:rPr>
          <w:rFonts w:ascii="Sylfaen" w:hAnsi="Sylfaen" w:cs="Sylfaen"/>
          <w:b/>
          <w:bCs/>
          <w:lang w:val="ka-GE"/>
        </w:rPr>
        <w:t>განსაკუთრებული მოთხოვნები:</w:t>
      </w:r>
    </w:p>
    <w:p w14:paraId="59A497E4" w14:textId="77777777" w:rsidR="005B31BA" w:rsidRPr="005B31BA" w:rsidRDefault="005B31BA" w:rsidP="005B31BA">
      <w:pPr>
        <w:spacing w:after="0" w:line="240" w:lineRule="auto"/>
        <w:jc w:val="both"/>
        <w:rPr>
          <w:rFonts w:ascii="Sylfaen" w:hAnsi="Sylfaen" w:cs="Sylfaen"/>
          <w:lang w:val="ka-GE"/>
        </w:rPr>
      </w:pPr>
    </w:p>
    <w:p w14:paraId="1A63E79D" w14:textId="32877620" w:rsidR="005B31BA" w:rsidRPr="005B31BA" w:rsidRDefault="005B31BA" w:rsidP="005B31BA">
      <w:pPr>
        <w:pStyle w:val="ListParagraph"/>
        <w:numPr>
          <w:ilvl w:val="0"/>
          <w:numId w:val="48"/>
        </w:numPr>
        <w:spacing w:after="0" w:line="240" w:lineRule="auto"/>
        <w:ind w:left="360"/>
        <w:jc w:val="both"/>
        <w:rPr>
          <w:rFonts w:ascii="Sylfaen" w:hAnsi="Sylfaen" w:cs="Sylfaen"/>
          <w:lang w:val="ka-GE"/>
        </w:rPr>
      </w:pPr>
      <w:r>
        <w:rPr>
          <w:rFonts w:ascii="Sylfaen" w:hAnsi="Sylfaen" w:cs="Sylfaen"/>
          <w:lang w:val="ka-GE"/>
        </w:rPr>
        <w:t>შესრულებულ სამუშაოებზე რეპორტი უნდა იყოს როგორც ქართულენოვანი, ასევე ინგლისურენოვანიც.</w:t>
      </w:r>
    </w:p>
    <w:p w14:paraId="0353AF42" w14:textId="6DD77FFC" w:rsidR="001B055A" w:rsidRPr="00ED6A06" w:rsidRDefault="001B055A" w:rsidP="001B055A">
      <w:pPr>
        <w:spacing w:after="0" w:line="240" w:lineRule="auto"/>
        <w:jc w:val="both"/>
        <w:rPr>
          <w:rFonts w:ascii="Sylfaen" w:hAnsi="Sylfaen" w:cs="Sylfaen"/>
          <w:b/>
          <w:bCs/>
          <w:lang w:val="ka-GE"/>
        </w:rPr>
      </w:pPr>
    </w:p>
    <w:p w14:paraId="42C81158" w14:textId="17DE9E1A"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D710728" w:rsidR="00DB5C8D" w:rsidRPr="002B3CCD" w:rsidRDefault="00EA0007" w:rsidP="00696A50">
      <w:pPr>
        <w:spacing w:after="0" w:line="240" w:lineRule="auto"/>
        <w:jc w:val="both"/>
        <w:rPr>
          <w:rFonts w:ascii="Sylfaen" w:hAnsi="Sylfaen" w:cs="Sylfaen"/>
          <w:lang w:val="ka-GE"/>
        </w:rPr>
      </w:pPr>
      <w:r w:rsidRPr="00EA0007">
        <w:rPr>
          <w:rFonts w:ascii="Sylfaen" w:hAnsi="Sylfaen" w:cs="Sylfaen"/>
          <w:lang w:val="ka-GE"/>
        </w:rPr>
        <w:t>ჟინვალის წყალსაცავის დალექვის ბათიმეტრიული კვლევის</w:t>
      </w:r>
      <w:r>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დანართი N1 - „ტექნიკური დავალების“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77777777" w:rsidR="0061352A" w:rsidRPr="00607E66" w:rsidRDefault="0061352A" w:rsidP="00FD35B5">
      <w:pPr>
        <w:rPr>
          <w:rFonts w:ascii="Sylfaen" w:hAnsi="Sylfaen" w:cs="Sylfaen"/>
          <w:color w:val="222222"/>
          <w:shd w:val="clear" w:color="auto" w:fill="FFFFFF"/>
          <w:lang w:val="ka-GE"/>
        </w:rPr>
      </w:pPr>
      <w:r w:rsidRPr="00607E66">
        <w:rPr>
          <w:rFonts w:ascii="Sylfaen" w:hAnsi="Sylfaen" w:cs="Sylfaen"/>
          <w:color w:val="222222"/>
          <w:shd w:val="clear" w:color="auto" w:fill="FFFFFF"/>
          <w:lang w:val="ka-GE"/>
        </w:rPr>
        <w:t xml:space="preserve">ფასები წარმოდგენილი უნდა იყოს დანართი N1-ში მითითებული პოზიციების მიხედვით. </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6774F146"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9320FA">
        <w:rPr>
          <w:rFonts w:ascii="Sylfaen" w:hAnsi="Sylfaen"/>
          <w:lang w:val="ka-GE"/>
        </w:rPr>
        <w:t>დუშეთის რაიონ</w:t>
      </w:r>
      <w:r w:rsidR="00444967">
        <w:rPr>
          <w:rFonts w:ascii="Sylfaen" w:hAnsi="Sylfaen"/>
          <w:lang w:val="ka-GE"/>
        </w:rPr>
        <w:t>ში</w:t>
      </w:r>
      <w:r w:rsidR="00696A50" w:rsidRPr="00607E66">
        <w:rPr>
          <w:rFonts w:ascii="Sylfaen" w:hAnsi="Sylfaen"/>
          <w:lang w:val="ka-GE"/>
        </w:rPr>
        <w:t>;</w:t>
      </w:r>
    </w:p>
    <w:p w14:paraId="1F6FCC14" w14:textId="38FBC29E" w:rsidR="00EA0007" w:rsidRDefault="00185431" w:rsidP="00EA0007">
      <w:pPr>
        <w:ind w:left="720" w:hanging="720"/>
        <w:jc w:val="both"/>
        <w:rPr>
          <w:rFonts w:ascii="Sylfaen" w:hAnsi="Sylfaen"/>
          <w:lang w:val="ka-GE"/>
        </w:rPr>
      </w:pPr>
      <w:r w:rsidRPr="00691338">
        <w:rPr>
          <w:rFonts w:ascii="Sylfaen" w:hAnsi="Sylfaen"/>
          <w:lang w:val="ka-GE"/>
        </w:rPr>
        <w:t>-</w:t>
      </w:r>
      <w:r w:rsidR="004A44BF">
        <w:rPr>
          <w:rFonts w:ascii="Sylfaen" w:hAnsi="Sylfaen"/>
          <w:lang w:val="ka-GE"/>
        </w:rPr>
        <w:t xml:space="preserve"> </w:t>
      </w:r>
      <w:r w:rsidR="00255EB0" w:rsidRPr="00691338">
        <w:rPr>
          <w:rFonts w:ascii="Sylfaen" w:hAnsi="Sylfaen"/>
          <w:lang w:val="ka-GE"/>
        </w:rPr>
        <w:t xml:space="preserve">სამუშაოს </w:t>
      </w:r>
      <w:r w:rsidR="00255EB0" w:rsidRPr="004A44BF">
        <w:rPr>
          <w:rFonts w:ascii="Sylfaen" w:hAnsi="Sylfaen"/>
          <w:lang w:val="ka-GE"/>
        </w:rPr>
        <w:t xml:space="preserve">შესრულების ვადა </w:t>
      </w:r>
      <w:r w:rsidR="0061352A">
        <w:rPr>
          <w:rFonts w:ascii="Sylfaen" w:hAnsi="Sylfaen"/>
          <w:lang w:val="ka-GE"/>
        </w:rPr>
        <w:t xml:space="preserve">განისაზღვრება </w:t>
      </w:r>
      <w:r w:rsidR="00EA0007">
        <w:rPr>
          <w:rFonts w:ascii="Sylfaen" w:hAnsi="Sylfaen"/>
          <w:lang w:val="ka-GE"/>
        </w:rPr>
        <w:t>60 კალე</w:t>
      </w:r>
      <w:r w:rsidR="00B4567C">
        <w:rPr>
          <w:rFonts w:ascii="Sylfaen" w:hAnsi="Sylfaen"/>
          <w:lang w:val="ka-GE"/>
        </w:rPr>
        <w:t>ნ</w:t>
      </w:r>
      <w:r w:rsidR="00EA0007">
        <w:rPr>
          <w:rFonts w:ascii="Sylfaen" w:hAnsi="Sylfaen"/>
          <w:lang w:val="ka-GE"/>
        </w:rPr>
        <w:t>დარული დღე.</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3E7418E9"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უკანასკნელი 2</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0E9EAB23"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61352A">
        <w:rPr>
          <w:rFonts w:ascii="Sylfaen" w:hAnsi="Sylfaen"/>
          <w:lang w:val="ka-GE"/>
        </w:rPr>
        <w:t>დანართი N1 - ტექნიკური დავალებ</w:t>
      </w:r>
      <w:r w:rsidR="009B59EF">
        <w:rPr>
          <w:rFonts w:ascii="Sylfaen" w:hAnsi="Sylfaen"/>
          <w:lang w:val="ka-GE"/>
        </w:rPr>
        <w:t>ის გათვალისწინებით</w:t>
      </w:r>
      <w:r w:rsidR="0061352A">
        <w:rPr>
          <w:rFonts w:ascii="Sylfaen" w:hAnsi="Sylfaen"/>
          <w:lang w:val="ka-GE"/>
        </w:rPr>
        <w:t xml:space="preserve"> ფას</w:t>
      </w:r>
      <w:r w:rsidR="009B59EF">
        <w:rPr>
          <w:rFonts w:ascii="Sylfaen" w:hAnsi="Sylfaen"/>
          <w:lang w:val="ka-GE"/>
        </w:rPr>
        <w:t>ი</w:t>
      </w:r>
      <w:r w:rsidR="00356305">
        <w:rPr>
          <w:rFonts w:ascii="Sylfaen" w:hAnsi="Sylfaen"/>
          <w:lang w:val="ka-GE"/>
        </w:rPr>
        <w:t>ს და შესრულების ვადის მითით</w:t>
      </w:r>
      <w:r w:rsidR="0061352A">
        <w:rPr>
          <w:rFonts w:ascii="Sylfaen" w:hAnsi="Sylfaen"/>
          <w:lang w:val="ka-GE"/>
        </w:rPr>
        <w:t xml:space="preserve">ებით </w:t>
      </w:r>
      <w:r w:rsidR="001466B2">
        <w:rPr>
          <w:rFonts w:ascii="Sylfaen" w:hAnsi="Sylfaen"/>
          <w:lang w:val="ka-GE"/>
        </w:rPr>
        <w:t>ტენდერზე თანდართული ფორმით</w:t>
      </w:r>
      <w:r w:rsidR="00AE7884" w:rsidRPr="007B0071">
        <w:rPr>
          <w:rFonts w:ascii="Sylfaen" w:hAnsi="Sylfaen"/>
          <w:lang w:val="ka-GE"/>
        </w:rPr>
        <w:t>;</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lastRenderedPageBreak/>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66A2D89C"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A4A41">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6E55BB">
        <w:rPr>
          <w:rFonts w:ascii="Sylfaen" w:hAnsi="Sylfaen" w:cs="Sylfaen"/>
          <w:b/>
          <w:sz w:val="20"/>
          <w:szCs w:val="20"/>
          <w:lang w:val="ka-GE"/>
        </w:rPr>
        <w:t xml:space="preserve">12 </w:t>
      </w:r>
      <w:r w:rsidR="009B59EF">
        <w:rPr>
          <w:rFonts w:ascii="Sylfaen" w:hAnsi="Sylfaen" w:cs="Sylfaen"/>
          <w:b/>
          <w:sz w:val="20"/>
          <w:szCs w:val="20"/>
          <w:lang w:val="ka-GE"/>
        </w:rPr>
        <w:t>ივნისი</w:t>
      </w:r>
      <w:r w:rsidR="00444967">
        <w:rPr>
          <w:rFonts w:ascii="Sylfaen" w:hAnsi="Sylfaen" w:cs="Sylfaen"/>
          <w:b/>
          <w:sz w:val="20"/>
          <w:szCs w:val="20"/>
          <w:lang w:val="ka-GE"/>
        </w:rPr>
        <w:t>,</w:t>
      </w:r>
      <w:r w:rsidRPr="001710E2">
        <w:rPr>
          <w:rFonts w:ascii="Sylfaen" w:hAnsi="Sylfaen" w:cs="Sylfaen"/>
          <w:b/>
          <w:sz w:val="20"/>
          <w:szCs w:val="20"/>
          <w:lang w:val="ka-GE"/>
        </w:rPr>
        <w:t xml:space="preserve"> 1</w:t>
      </w:r>
      <w:r w:rsidR="006E55BB">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lastRenderedPageBreak/>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59891E50" w14:textId="77777777" w:rsidR="00BA5419" w:rsidRPr="00BA5419" w:rsidRDefault="00BA5419" w:rsidP="00BA5419">
      <w:pPr>
        <w:jc w:val="both"/>
        <w:rPr>
          <w:lang w:val="ka-GE"/>
        </w:rPr>
      </w:pP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4420C5D8" w14:textId="77777777" w:rsidR="00BA5419" w:rsidRPr="00BA5419" w:rsidRDefault="00BA5419" w:rsidP="00BA5419">
      <w:pPr>
        <w:spacing w:after="0"/>
        <w:jc w:val="both"/>
        <w:rPr>
          <w:rFonts w:ascii="Sylfaen" w:hAnsi="Sylfaen"/>
          <w:bCs/>
          <w:iCs/>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B0E57FE" w14:textId="490E4B4D" w:rsidR="00356305" w:rsidRDefault="00356305" w:rsidP="00696A50">
      <w:pPr>
        <w:spacing w:after="0"/>
        <w:jc w:val="both"/>
        <w:rPr>
          <w:rFonts w:ascii="Sylfaen" w:hAnsi="Sylfaen"/>
          <w:sz w:val="18"/>
          <w:lang w:val="ka-GE"/>
        </w:rPr>
      </w:pPr>
    </w:p>
    <w:p w14:paraId="446B9FBD" w14:textId="6082E67D" w:rsidR="00356305" w:rsidRDefault="00356305" w:rsidP="00696A50">
      <w:pPr>
        <w:spacing w:after="0"/>
        <w:jc w:val="both"/>
        <w:rPr>
          <w:rFonts w:ascii="Sylfaen" w:hAnsi="Sylfaen"/>
          <w:sz w:val="18"/>
          <w:lang w:val="ka-GE"/>
        </w:rPr>
      </w:pPr>
    </w:p>
    <w:p w14:paraId="18D1456B" w14:textId="00E4D698" w:rsidR="00356305" w:rsidRDefault="00356305" w:rsidP="00696A50">
      <w:pPr>
        <w:spacing w:after="0"/>
        <w:jc w:val="both"/>
        <w:rPr>
          <w:rFonts w:ascii="Sylfaen" w:hAnsi="Sylfaen"/>
          <w:sz w:val="18"/>
          <w:lang w:val="ka-GE"/>
        </w:rPr>
      </w:pPr>
    </w:p>
    <w:p w14:paraId="3FC243F4" w14:textId="4A8F1045"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2553B203" w:rsidR="00696A50" w:rsidRPr="00696A50" w:rsidRDefault="00696A50" w:rsidP="00696A50">
      <w:pPr>
        <w:spacing w:after="0"/>
        <w:jc w:val="both"/>
        <w:rPr>
          <w:rFonts w:ascii="Sylfaen" w:hAnsi="Sylfaen"/>
          <w:lang w:val="ka-GE"/>
        </w:rPr>
      </w:pPr>
      <w:r w:rsidRPr="00696A50">
        <w:rPr>
          <w:rFonts w:ascii="Sylfaen" w:hAnsi="Sylfaen"/>
          <w:lang w:val="ka-GE"/>
        </w:rPr>
        <w:t xml:space="preserve">საკონტაქტო პირი: </w:t>
      </w:r>
      <w:r w:rsidR="00EA6CC2">
        <w:rPr>
          <w:rFonts w:ascii="Sylfaen" w:hAnsi="Sylfaen"/>
          <w:lang w:val="ka-GE"/>
        </w:rPr>
        <w:t>ვანო წიკლაური</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68FDE894"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00EA6CC2" w:rsidRPr="00F1232B">
          <w:rPr>
            <w:rStyle w:val="Hyperlink"/>
            <w:rFonts w:ascii="Sylfaen" w:hAnsi="Sylfaen"/>
          </w:rPr>
          <w:t>vtsiklauri</w:t>
        </w:r>
        <w:r w:rsidR="00EA6CC2" w:rsidRPr="00F1232B">
          <w:rPr>
            <w:rStyle w:val="Hyperlink"/>
            <w:rFonts w:ascii="Sylfaen" w:hAnsi="Sylfaen"/>
            <w:lang w:val="ka-GE"/>
          </w:rPr>
          <w:t>@gwp.ge</w:t>
        </w:r>
      </w:hyperlink>
      <w:r w:rsidRPr="008A7B43">
        <w:rPr>
          <w:rFonts w:ascii="Sylfaen" w:hAnsi="Sylfaen"/>
          <w:lang w:val="ka-GE"/>
        </w:rPr>
        <w:t xml:space="preserve"> </w:t>
      </w:r>
    </w:p>
    <w:p w14:paraId="53269314" w14:textId="66C1322A"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w:t>
      </w:r>
      <w:r w:rsidR="0029572C">
        <w:rPr>
          <w:rFonts w:ascii="Sylfaen" w:hAnsi="Sylfaen"/>
          <w:lang w:val="ka-GE"/>
        </w:rPr>
        <w:t>9</w:t>
      </w:r>
      <w:r w:rsidRPr="00696A50">
        <w:rPr>
          <w:rFonts w:ascii="Sylfaen" w:hAnsi="Sylfaen"/>
          <w:lang w:val="ka-GE"/>
        </w:rPr>
        <w:t>); 5</w:t>
      </w:r>
      <w:r w:rsidR="0029572C">
        <w:rPr>
          <w:rFonts w:ascii="Sylfaen" w:hAnsi="Sylfaen"/>
          <w:lang w:val="ka-GE"/>
        </w:rPr>
        <w:t>7773 66 44</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0E4A8" w14:textId="77777777" w:rsidR="005F5C83" w:rsidRDefault="005F5C83" w:rsidP="007902EA">
      <w:pPr>
        <w:spacing w:after="0" w:line="240" w:lineRule="auto"/>
      </w:pPr>
      <w:r>
        <w:separator/>
      </w:r>
    </w:p>
  </w:endnote>
  <w:endnote w:type="continuationSeparator" w:id="0">
    <w:p w14:paraId="4F6BF175" w14:textId="77777777" w:rsidR="005F5C83" w:rsidRDefault="005F5C8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cadNusx">
    <w:altName w:val="Times New Roman"/>
    <w:panose1 w:val="020B0604020202020204"/>
    <w:charset w:val="00"/>
    <w:family w:val="auto"/>
    <w:pitch w:val="variable"/>
    <w:sig w:usb0="00000087" w:usb1="00000000" w:usb2="00000000" w:usb3="00000000" w:csb0="0000001B"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6640"/>
      <w:docPartObj>
        <w:docPartGallery w:val="Page Numbers (Bottom of Page)"/>
        <w:docPartUnique/>
      </w:docPartObj>
    </w:sdtPr>
    <w:sdtEnd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7FDE5" w14:textId="77777777" w:rsidR="005F5C83" w:rsidRDefault="005F5C83" w:rsidP="007902EA">
      <w:pPr>
        <w:spacing w:after="0" w:line="240" w:lineRule="auto"/>
      </w:pPr>
      <w:r>
        <w:separator/>
      </w:r>
    </w:p>
  </w:footnote>
  <w:footnote w:type="continuationSeparator" w:id="0">
    <w:p w14:paraId="3FFC710B" w14:textId="77777777" w:rsidR="005F5C83" w:rsidRDefault="005F5C8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
  </w:num>
  <w:num w:numId="4">
    <w:abstractNumId w:val="44"/>
  </w:num>
  <w:num w:numId="5">
    <w:abstractNumId w:val="20"/>
  </w:num>
  <w:num w:numId="6">
    <w:abstractNumId w:val="5"/>
  </w:num>
  <w:num w:numId="7">
    <w:abstractNumId w:val="4"/>
  </w:num>
  <w:num w:numId="8">
    <w:abstractNumId w:val="35"/>
  </w:num>
  <w:num w:numId="9">
    <w:abstractNumId w:val="39"/>
  </w:num>
  <w:num w:numId="10">
    <w:abstractNumId w:val="22"/>
  </w:num>
  <w:num w:numId="11">
    <w:abstractNumId w:val="10"/>
  </w:num>
  <w:num w:numId="12">
    <w:abstractNumId w:val="17"/>
  </w:num>
  <w:num w:numId="13">
    <w:abstractNumId w:val="31"/>
  </w:num>
  <w:num w:numId="14">
    <w:abstractNumId w:val="23"/>
  </w:num>
  <w:num w:numId="15">
    <w:abstractNumId w:val="16"/>
  </w:num>
  <w:num w:numId="16">
    <w:abstractNumId w:val="37"/>
  </w:num>
  <w:num w:numId="17">
    <w:abstractNumId w:val="28"/>
  </w:num>
  <w:num w:numId="18">
    <w:abstractNumId w:val="25"/>
  </w:num>
  <w:num w:numId="19">
    <w:abstractNumId w:val="9"/>
  </w:num>
  <w:num w:numId="20">
    <w:abstractNumId w:val="2"/>
  </w:num>
  <w:num w:numId="21">
    <w:abstractNumId w:val="43"/>
  </w:num>
  <w:num w:numId="22">
    <w:abstractNumId w:val="46"/>
  </w:num>
  <w:num w:numId="23">
    <w:abstractNumId w:val="18"/>
  </w:num>
  <w:num w:numId="24">
    <w:abstractNumId w:val="38"/>
  </w:num>
  <w:num w:numId="25">
    <w:abstractNumId w:val="14"/>
  </w:num>
  <w:num w:numId="26">
    <w:abstractNumId w:val="34"/>
  </w:num>
  <w:num w:numId="27">
    <w:abstractNumId w:val="3"/>
  </w:num>
  <w:num w:numId="28">
    <w:abstractNumId w:val="32"/>
  </w:num>
  <w:num w:numId="29">
    <w:abstractNumId w:val="29"/>
  </w:num>
  <w:num w:numId="30">
    <w:abstractNumId w:val="36"/>
  </w:num>
  <w:num w:numId="31">
    <w:abstractNumId w:val="41"/>
  </w:num>
  <w:num w:numId="32">
    <w:abstractNumId w:val="33"/>
  </w:num>
  <w:num w:numId="33">
    <w:abstractNumId w:val="12"/>
  </w:num>
  <w:num w:numId="34">
    <w:abstractNumId w:val="6"/>
  </w:num>
  <w:num w:numId="35">
    <w:abstractNumId w:val="40"/>
  </w:num>
  <w:num w:numId="36">
    <w:abstractNumId w:val="24"/>
  </w:num>
  <w:num w:numId="37">
    <w:abstractNumId w:val="13"/>
  </w:num>
  <w:num w:numId="38">
    <w:abstractNumId w:val="15"/>
  </w:num>
  <w:num w:numId="39">
    <w:abstractNumId w:val="30"/>
  </w:num>
  <w:num w:numId="40">
    <w:abstractNumId w:val="7"/>
  </w:num>
  <w:num w:numId="41">
    <w:abstractNumId w:val="27"/>
  </w:num>
  <w:num w:numId="42">
    <w:abstractNumId w:val="42"/>
  </w:num>
  <w:num w:numId="43">
    <w:abstractNumId w:val="11"/>
  </w:num>
  <w:num w:numId="44">
    <w:abstractNumId w:val="19"/>
  </w:num>
  <w:num w:numId="45">
    <w:abstractNumId w:val="8"/>
  </w:num>
  <w:num w:numId="46">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abstractNumId w:val="26"/>
  </w:num>
  <w:num w:numId="48">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oNotDisplayPageBoundarie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811D6"/>
    <w:rsid w:val="00081D42"/>
    <w:rsid w:val="00092A77"/>
    <w:rsid w:val="00092E77"/>
    <w:rsid w:val="000974B9"/>
    <w:rsid w:val="000A0D72"/>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9572C"/>
    <w:rsid w:val="002A0CB0"/>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A41"/>
    <w:rsid w:val="003A4DAA"/>
    <w:rsid w:val="003A5D91"/>
    <w:rsid w:val="003B460D"/>
    <w:rsid w:val="003B5A5E"/>
    <w:rsid w:val="003C568B"/>
    <w:rsid w:val="003C66BD"/>
    <w:rsid w:val="003C6F22"/>
    <w:rsid w:val="003D6473"/>
    <w:rsid w:val="003E15FA"/>
    <w:rsid w:val="003F2DE3"/>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C1CCA"/>
    <w:rsid w:val="004C1E0D"/>
    <w:rsid w:val="004D3679"/>
    <w:rsid w:val="004D3D1C"/>
    <w:rsid w:val="004D747F"/>
    <w:rsid w:val="004E36F2"/>
    <w:rsid w:val="005111AB"/>
    <w:rsid w:val="005248B1"/>
    <w:rsid w:val="0052656B"/>
    <w:rsid w:val="00540038"/>
    <w:rsid w:val="00544856"/>
    <w:rsid w:val="005553C3"/>
    <w:rsid w:val="00555E15"/>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5F5C83"/>
    <w:rsid w:val="00607E66"/>
    <w:rsid w:val="00610FC8"/>
    <w:rsid w:val="0061352A"/>
    <w:rsid w:val="00615BD2"/>
    <w:rsid w:val="00632910"/>
    <w:rsid w:val="00633210"/>
    <w:rsid w:val="00633F4A"/>
    <w:rsid w:val="00634B58"/>
    <w:rsid w:val="006352D2"/>
    <w:rsid w:val="006447A4"/>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E55BB"/>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C1A"/>
    <w:rsid w:val="00764A65"/>
    <w:rsid w:val="007715BA"/>
    <w:rsid w:val="00772078"/>
    <w:rsid w:val="007778C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567C"/>
    <w:rsid w:val="00B47896"/>
    <w:rsid w:val="00B47D4C"/>
    <w:rsid w:val="00B5249E"/>
    <w:rsid w:val="00B5452A"/>
    <w:rsid w:val="00B616CF"/>
    <w:rsid w:val="00B806AE"/>
    <w:rsid w:val="00B830F8"/>
    <w:rsid w:val="00B84106"/>
    <w:rsid w:val="00B92B05"/>
    <w:rsid w:val="00B942E0"/>
    <w:rsid w:val="00B95A6F"/>
    <w:rsid w:val="00B97F4F"/>
    <w:rsid w:val="00BA5419"/>
    <w:rsid w:val="00BB0F01"/>
    <w:rsid w:val="00BB10E9"/>
    <w:rsid w:val="00BC364F"/>
    <w:rsid w:val="00BE0965"/>
    <w:rsid w:val="00BE187B"/>
    <w:rsid w:val="00BE1A34"/>
    <w:rsid w:val="00BE3060"/>
    <w:rsid w:val="00BE4678"/>
    <w:rsid w:val="00BF5EFE"/>
    <w:rsid w:val="00BF71F1"/>
    <w:rsid w:val="00C01CD2"/>
    <w:rsid w:val="00C021B6"/>
    <w:rsid w:val="00C04F30"/>
    <w:rsid w:val="00C06F22"/>
    <w:rsid w:val="00C12270"/>
    <w:rsid w:val="00C14986"/>
    <w:rsid w:val="00C14D7A"/>
    <w:rsid w:val="00C1558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59AB"/>
    <w:rsid w:val="00D95A0F"/>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6A3D"/>
    <w:rsid w:val="00E751A2"/>
    <w:rsid w:val="00E76057"/>
    <w:rsid w:val="00E8201E"/>
    <w:rsid w:val="00E8598F"/>
    <w:rsid w:val="00E905AF"/>
    <w:rsid w:val="00E94223"/>
    <w:rsid w:val="00E94ED1"/>
    <w:rsid w:val="00E95292"/>
    <w:rsid w:val="00EA0007"/>
    <w:rsid w:val="00EA22AE"/>
    <w:rsid w:val="00EA344B"/>
    <w:rsid w:val="00EA6CC2"/>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vtsiklaur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Normal.dotm</Template>
  <TotalTime>1789</TotalTime>
  <Pages>6</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255</cp:revision>
  <cp:lastPrinted>2015-07-27T06:36:00Z</cp:lastPrinted>
  <dcterms:created xsi:type="dcterms:W3CDTF">2017-02-28T15:04:00Z</dcterms:created>
  <dcterms:modified xsi:type="dcterms:W3CDTF">2026-06-08T08:43:00Z</dcterms:modified>
</cp:coreProperties>
</file>