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16265" w14:textId="7215D654" w:rsidR="000C6084" w:rsidRPr="00CA7F73" w:rsidRDefault="000C6084" w:rsidP="00CA7F73">
                                <w:pPr>
                                  <w:pStyle w:val="Heading1"/>
                                  <w:spacing w:before="255" w:after="0"/>
                                  <w:jc w:val="center"/>
                                  <w:rPr>
                                    <w:rFonts w:ascii="Arial" w:hAnsi="Arial" w:cs="Arial"/>
                                    <w:color w:val="141B3D"/>
                                    <w:sz w:val="29"/>
                                    <w:szCs w:val="29"/>
                                    <w:lang w:val="ka-GE"/>
                                  </w:rPr>
                                </w:pPr>
                                <w:bookmarkStart w:id="0" w:name="_Toc170728893"/>
                                <w:bookmarkStart w:id="1" w:name="_Toc171454709"/>
                                <w:proofErr w:type="spellStart"/>
                                <w:r w:rsidRPr="000C6084">
                                  <w:rPr>
                                    <w:rFonts w:cs="Sylfaen"/>
                                    <w:color w:val="141B3D"/>
                                    <w:sz w:val="32"/>
                                    <w:szCs w:val="29"/>
                                  </w:rPr>
                                  <w:t>ტენდერი</w:t>
                                </w:r>
                                <w:proofErr w:type="spellEnd"/>
                                <w:r w:rsidR="00042AD7">
                                  <w:rPr>
                                    <w:rFonts w:cs="Sylfaen"/>
                                    <w:color w:val="141B3D"/>
                                    <w:sz w:val="32"/>
                                    <w:szCs w:val="29"/>
                                  </w:rPr>
                                  <w:t xml:space="preserve"> </w:t>
                                </w:r>
                                <w:r w:rsidR="00184EE5">
                                  <w:rPr>
                                    <w:rFonts w:cs="Sylfaen"/>
                                    <w:color w:val="141B3D"/>
                                    <w:sz w:val="32"/>
                                    <w:szCs w:val="29"/>
                                  </w:rPr>
                                  <w:t>100</w:t>
                                </w:r>
                                <w:r w:rsidR="00042AD7">
                                  <w:rPr>
                                    <w:rFonts w:cs="Sylfaen"/>
                                    <w:color w:val="141B3D"/>
                                    <w:sz w:val="32"/>
                                    <w:szCs w:val="29"/>
                                  </w:rPr>
                                  <w:t xml:space="preserve"> </w:t>
                                </w:r>
                                <w:r w:rsidR="00042AD7">
                                  <w:rPr>
                                    <w:rFonts w:cs="Sylfaen"/>
                                    <w:color w:val="141B3D"/>
                                    <w:sz w:val="32"/>
                                    <w:szCs w:val="29"/>
                                    <w:lang w:val="ka-GE"/>
                                  </w:rPr>
                                  <w:t>კომპლექტი</w:t>
                                </w:r>
                                <w:r w:rsidRPr="000C6084">
                                  <w:rPr>
                                    <w:rFonts w:ascii="Arial" w:hAnsi="Arial" w:cs="Arial"/>
                                    <w:color w:val="141B3D"/>
                                    <w:sz w:val="32"/>
                                    <w:szCs w:val="29"/>
                                  </w:rPr>
                                  <w:t xml:space="preserve"> </w:t>
                                </w:r>
                                <w:r w:rsidR="003A202F">
                                  <w:rPr>
                                    <w:rFonts w:cs="Arial"/>
                                    <w:color w:val="141B3D"/>
                                    <w:sz w:val="32"/>
                                    <w:szCs w:val="29"/>
                                    <w:lang w:val="ka-GE"/>
                                  </w:rPr>
                                  <w:t>ბანკომატის</w:t>
                                </w:r>
                                <w:r w:rsidR="002D6758">
                                  <w:rPr>
                                    <w:rFonts w:cs="Arial"/>
                                    <w:color w:val="141B3D"/>
                                    <w:sz w:val="32"/>
                                    <w:szCs w:val="29"/>
                                    <w:lang w:val="ka-GE"/>
                                  </w:rPr>
                                  <w:t xml:space="preserve"> </w:t>
                                </w:r>
                                <w:r w:rsidR="00042AD7">
                                  <w:rPr>
                                    <w:rFonts w:cs="Arial"/>
                                    <w:color w:val="141B3D"/>
                                    <w:sz w:val="32"/>
                                    <w:szCs w:val="29"/>
                                    <w:lang w:val="ka-GE"/>
                                  </w:rPr>
                                  <w:t>კასეტ</w:t>
                                </w:r>
                                <w:r w:rsidR="002D6758">
                                  <w:rPr>
                                    <w:rFonts w:cs="Arial"/>
                                    <w:color w:val="141B3D"/>
                                    <w:sz w:val="32"/>
                                    <w:szCs w:val="29"/>
                                    <w:lang w:val="ka-GE"/>
                                  </w:rPr>
                                  <w:t>ის</w:t>
                                </w:r>
                                <w:r w:rsidR="00CA7F73">
                                  <w:rPr>
                                    <w:rFonts w:cs="Sylfaen"/>
                                    <w:color w:val="141B3D"/>
                                    <w:sz w:val="32"/>
                                    <w:szCs w:val="29"/>
                                    <w:lang w:val="ka-GE"/>
                                  </w:rPr>
                                  <w:t xml:space="preserve"> შესყიდვაზე</w:t>
                                </w:r>
                                <w:bookmarkEnd w:id="0"/>
                                <w:bookmarkEnd w:id="1"/>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2" w:name="_Toc170728894"/>
                                <w:bookmarkStart w:id="3" w:name="_Toc171454710"/>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2"/>
                                <w:bookmarkEnd w:id="3"/>
                              </w:p>
                              <w:p w14:paraId="573A4337" w14:textId="4F319634" w:rsidR="006F3955" w:rsidRPr="000C6084" w:rsidRDefault="006F3955" w:rsidP="000D1CB3">
                                <w:pPr>
                                  <w:jc w:val="center"/>
                                  <w:rPr>
                                    <w:b/>
                                    <w:color w:val="E36C0A" w:themeColor="accent6" w:themeShade="BF"/>
                                    <w:sz w:val="48"/>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3F516265" w14:textId="7215D654" w:rsidR="000C6084" w:rsidRPr="00CA7F73" w:rsidRDefault="000C6084" w:rsidP="00CA7F73">
                          <w:pPr>
                            <w:pStyle w:val="Heading1"/>
                            <w:spacing w:before="255" w:after="0"/>
                            <w:jc w:val="center"/>
                            <w:rPr>
                              <w:rFonts w:ascii="Arial" w:hAnsi="Arial" w:cs="Arial"/>
                              <w:color w:val="141B3D"/>
                              <w:sz w:val="29"/>
                              <w:szCs w:val="29"/>
                              <w:lang w:val="ka-GE"/>
                            </w:rPr>
                          </w:pPr>
                          <w:bookmarkStart w:id="4" w:name="_Toc170728893"/>
                          <w:bookmarkStart w:id="5" w:name="_Toc171454709"/>
                          <w:proofErr w:type="spellStart"/>
                          <w:r w:rsidRPr="000C6084">
                            <w:rPr>
                              <w:rFonts w:cs="Sylfaen"/>
                              <w:color w:val="141B3D"/>
                              <w:sz w:val="32"/>
                              <w:szCs w:val="29"/>
                            </w:rPr>
                            <w:t>ტენდერი</w:t>
                          </w:r>
                          <w:proofErr w:type="spellEnd"/>
                          <w:r w:rsidR="00042AD7">
                            <w:rPr>
                              <w:rFonts w:cs="Sylfaen"/>
                              <w:color w:val="141B3D"/>
                              <w:sz w:val="32"/>
                              <w:szCs w:val="29"/>
                            </w:rPr>
                            <w:t xml:space="preserve"> </w:t>
                          </w:r>
                          <w:r w:rsidR="00184EE5">
                            <w:rPr>
                              <w:rFonts w:cs="Sylfaen"/>
                              <w:color w:val="141B3D"/>
                              <w:sz w:val="32"/>
                              <w:szCs w:val="29"/>
                            </w:rPr>
                            <w:t>100</w:t>
                          </w:r>
                          <w:r w:rsidR="00042AD7">
                            <w:rPr>
                              <w:rFonts w:cs="Sylfaen"/>
                              <w:color w:val="141B3D"/>
                              <w:sz w:val="32"/>
                              <w:szCs w:val="29"/>
                            </w:rPr>
                            <w:t xml:space="preserve"> </w:t>
                          </w:r>
                          <w:r w:rsidR="00042AD7">
                            <w:rPr>
                              <w:rFonts w:cs="Sylfaen"/>
                              <w:color w:val="141B3D"/>
                              <w:sz w:val="32"/>
                              <w:szCs w:val="29"/>
                              <w:lang w:val="ka-GE"/>
                            </w:rPr>
                            <w:t>კომპლექტი</w:t>
                          </w:r>
                          <w:r w:rsidRPr="000C6084">
                            <w:rPr>
                              <w:rFonts w:ascii="Arial" w:hAnsi="Arial" w:cs="Arial"/>
                              <w:color w:val="141B3D"/>
                              <w:sz w:val="32"/>
                              <w:szCs w:val="29"/>
                            </w:rPr>
                            <w:t xml:space="preserve"> </w:t>
                          </w:r>
                          <w:r w:rsidR="003A202F">
                            <w:rPr>
                              <w:rFonts w:cs="Arial"/>
                              <w:color w:val="141B3D"/>
                              <w:sz w:val="32"/>
                              <w:szCs w:val="29"/>
                              <w:lang w:val="ka-GE"/>
                            </w:rPr>
                            <w:t>ბანკომატის</w:t>
                          </w:r>
                          <w:r w:rsidR="002D6758">
                            <w:rPr>
                              <w:rFonts w:cs="Arial"/>
                              <w:color w:val="141B3D"/>
                              <w:sz w:val="32"/>
                              <w:szCs w:val="29"/>
                              <w:lang w:val="ka-GE"/>
                            </w:rPr>
                            <w:t xml:space="preserve"> </w:t>
                          </w:r>
                          <w:r w:rsidR="00042AD7">
                            <w:rPr>
                              <w:rFonts w:cs="Arial"/>
                              <w:color w:val="141B3D"/>
                              <w:sz w:val="32"/>
                              <w:szCs w:val="29"/>
                              <w:lang w:val="ka-GE"/>
                            </w:rPr>
                            <w:t>კასეტ</w:t>
                          </w:r>
                          <w:r w:rsidR="002D6758">
                            <w:rPr>
                              <w:rFonts w:cs="Arial"/>
                              <w:color w:val="141B3D"/>
                              <w:sz w:val="32"/>
                              <w:szCs w:val="29"/>
                              <w:lang w:val="ka-GE"/>
                            </w:rPr>
                            <w:t>ის</w:t>
                          </w:r>
                          <w:r w:rsidR="00CA7F73">
                            <w:rPr>
                              <w:rFonts w:cs="Sylfaen"/>
                              <w:color w:val="141B3D"/>
                              <w:sz w:val="32"/>
                              <w:szCs w:val="29"/>
                              <w:lang w:val="ka-GE"/>
                            </w:rPr>
                            <w:t xml:space="preserve"> შესყიდვაზე</w:t>
                          </w:r>
                          <w:bookmarkEnd w:id="4"/>
                          <w:bookmarkEnd w:id="5"/>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6" w:name="_Toc170728894"/>
                          <w:bookmarkStart w:id="7" w:name="_Toc171454710"/>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6"/>
                          <w:bookmarkEnd w:id="7"/>
                        </w:p>
                        <w:p w14:paraId="573A4337" w14:textId="4F319634" w:rsidR="006F3955" w:rsidRPr="000C6084" w:rsidRDefault="006F3955" w:rsidP="000D1CB3">
                          <w:pPr>
                            <w:jc w:val="center"/>
                            <w:rPr>
                              <w:b/>
                              <w:color w:val="E36C0A" w:themeColor="accent6" w:themeShade="BF"/>
                              <w:sz w:val="48"/>
                              <w:szCs w:val="56"/>
                              <w:lang w:val="ka-GE"/>
                            </w:rPr>
                          </w:pP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55A083E8" w:rsidR="006F3955" w:rsidRDefault="00184EE5" w:rsidP="007C5AE6">
                                      <w:pPr>
                                        <w:rPr>
                                          <w:lang w:val="ka-GE"/>
                                        </w:rPr>
                                      </w:pPr>
                                      <w:r>
                                        <w:rPr>
                                          <w:lang w:val="ka-GE"/>
                                        </w:rPr>
                                        <w:t>15</w:t>
                                      </w:r>
                                      <w:r w:rsidR="00BD2A07">
                                        <w:rPr>
                                          <w:lang w:val="ka-GE"/>
                                        </w:rPr>
                                        <w:t xml:space="preserve"> </w:t>
                                      </w:r>
                                      <w:r>
                                        <w:rPr>
                                          <w:lang w:val="ka-GE"/>
                                        </w:rPr>
                                        <w:t>ივნისი</w:t>
                                      </w:r>
                                      <w:r w:rsidR="00DE53CA">
                                        <w:rPr>
                                          <w:lang w:val="ka-GE"/>
                                        </w:rPr>
                                        <w:t xml:space="preserve"> </w:t>
                                      </w:r>
                                      <w:r w:rsidR="006F3955">
                                        <w:rPr>
                                          <w:lang w:val="ka-GE"/>
                                        </w:rPr>
                                        <w:t>20</w:t>
                                      </w:r>
                                      <w:r w:rsidR="00D12A89">
                                        <w:rPr>
                                          <w:lang w:val="ka-GE"/>
                                        </w:rPr>
                                        <w:t>2</w:t>
                                      </w:r>
                                      <w:r>
                                        <w:rPr>
                                          <w:lang w:val="ka-GE"/>
                                        </w:rPr>
                                        <w:t>6</w:t>
                                      </w:r>
                                    </w:p>
                                    <w:p w14:paraId="5B62700D" w14:textId="0DE1BDAB" w:rsidR="006F3955" w:rsidRPr="00415C7C" w:rsidRDefault="00184EE5" w:rsidP="003A202F">
                                      <w:pPr>
                                        <w:rPr>
                                          <w:lang w:val="ka-GE"/>
                                        </w:rPr>
                                      </w:pPr>
                                      <w:r>
                                        <w:rPr>
                                          <w:lang w:val="ka-GE"/>
                                        </w:rPr>
                                        <w:t>23</w:t>
                                      </w:r>
                                      <w:r w:rsidR="00453E35">
                                        <w:rPr>
                                          <w:lang w:val="ka-GE"/>
                                        </w:rPr>
                                        <w:t xml:space="preserve"> </w:t>
                                      </w:r>
                                      <w:r>
                                        <w:rPr>
                                          <w:lang w:val="ka-GE"/>
                                        </w:rPr>
                                        <w:t>ივნისი</w:t>
                                      </w:r>
                                      <w:r w:rsidR="00D12A89">
                                        <w:rPr>
                                          <w:lang w:val="ka-GE"/>
                                        </w:rPr>
                                        <w:t xml:space="preserve"> 202</w:t>
                                      </w:r>
                                      <w:r>
                                        <w:rPr>
                                          <w:lang w:val="ka-GE"/>
                                        </w:rPr>
                                        <w:t>6</w:t>
                                      </w:r>
                                      <w:r w:rsidR="005538C0">
                                        <w:rPr>
                                          <w:lang w:val="ka-GE"/>
                                        </w:rPr>
                                        <w:t xml:space="preserve"> </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9"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0"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55A083E8" w:rsidR="006F3955" w:rsidRDefault="00184EE5" w:rsidP="007C5AE6">
                                <w:pPr>
                                  <w:rPr>
                                    <w:lang w:val="ka-GE"/>
                                  </w:rPr>
                                </w:pPr>
                                <w:r>
                                  <w:rPr>
                                    <w:lang w:val="ka-GE"/>
                                  </w:rPr>
                                  <w:t>15</w:t>
                                </w:r>
                                <w:r w:rsidR="00BD2A07">
                                  <w:rPr>
                                    <w:lang w:val="ka-GE"/>
                                  </w:rPr>
                                  <w:t xml:space="preserve"> </w:t>
                                </w:r>
                                <w:r>
                                  <w:rPr>
                                    <w:lang w:val="ka-GE"/>
                                  </w:rPr>
                                  <w:t>ივნისი</w:t>
                                </w:r>
                                <w:r w:rsidR="00DE53CA">
                                  <w:rPr>
                                    <w:lang w:val="ka-GE"/>
                                  </w:rPr>
                                  <w:t xml:space="preserve"> </w:t>
                                </w:r>
                                <w:r w:rsidR="006F3955">
                                  <w:rPr>
                                    <w:lang w:val="ka-GE"/>
                                  </w:rPr>
                                  <w:t>20</w:t>
                                </w:r>
                                <w:r w:rsidR="00D12A89">
                                  <w:rPr>
                                    <w:lang w:val="ka-GE"/>
                                  </w:rPr>
                                  <w:t>2</w:t>
                                </w:r>
                                <w:r>
                                  <w:rPr>
                                    <w:lang w:val="ka-GE"/>
                                  </w:rPr>
                                  <w:t>6</w:t>
                                </w:r>
                              </w:p>
                              <w:p w14:paraId="5B62700D" w14:textId="0DE1BDAB" w:rsidR="006F3955" w:rsidRPr="00415C7C" w:rsidRDefault="00184EE5" w:rsidP="003A202F">
                                <w:pPr>
                                  <w:rPr>
                                    <w:lang w:val="ka-GE"/>
                                  </w:rPr>
                                </w:pPr>
                                <w:r>
                                  <w:rPr>
                                    <w:lang w:val="ka-GE"/>
                                  </w:rPr>
                                  <w:t>23</w:t>
                                </w:r>
                                <w:r w:rsidR="00453E35">
                                  <w:rPr>
                                    <w:lang w:val="ka-GE"/>
                                  </w:rPr>
                                  <w:t xml:space="preserve"> </w:t>
                                </w:r>
                                <w:r>
                                  <w:rPr>
                                    <w:lang w:val="ka-GE"/>
                                  </w:rPr>
                                  <w:t>ივნისი</w:t>
                                </w:r>
                                <w:r w:rsidR="00D12A89">
                                  <w:rPr>
                                    <w:lang w:val="ka-GE"/>
                                  </w:rPr>
                                  <w:t xml:space="preserve"> 202</w:t>
                                </w:r>
                                <w:r>
                                  <w:rPr>
                                    <w:lang w:val="ka-GE"/>
                                  </w:rPr>
                                  <w:t>6</w:t>
                                </w:r>
                                <w:r w:rsidR="005538C0">
                                  <w:rPr>
                                    <w:lang w:val="ka-GE"/>
                                  </w:rPr>
                                  <w:t xml:space="preserve"> </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11"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8" w:name="_Toc456350217"/>
      <w:bookmarkStart w:id="9" w:name="_Toc456347628"/>
    </w:p>
    <w:p w14:paraId="10C98F3F" w14:textId="3B1D7522" w:rsidR="00042AD7" w:rsidRDefault="00042AD7" w:rsidP="00042AD7">
      <w:pPr>
        <w:pStyle w:val="TOCHeading"/>
        <w:jc w:val="center"/>
        <w:rPr>
          <w:rFonts w:cs="Sylfaen"/>
          <w:color w:val="141B3D"/>
          <w:sz w:val="29"/>
          <w:szCs w:val="29"/>
        </w:rPr>
      </w:pPr>
      <w:proofErr w:type="spellStart"/>
      <w:r w:rsidRPr="00042AD7">
        <w:rPr>
          <w:rFonts w:cs="Sylfaen"/>
          <w:color w:val="141B3D"/>
          <w:sz w:val="29"/>
          <w:szCs w:val="29"/>
        </w:rPr>
        <w:t>ტენდერი</w:t>
      </w:r>
      <w:proofErr w:type="spellEnd"/>
      <w:r w:rsidRPr="00042AD7">
        <w:rPr>
          <w:rFonts w:cs="Sylfaen"/>
          <w:color w:val="141B3D"/>
          <w:sz w:val="29"/>
          <w:szCs w:val="29"/>
        </w:rPr>
        <w:t xml:space="preserve"> </w:t>
      </w:r>
      <w:r w:rsidR="00184EE5">
        <w:rPr>
          <w:rFonts w:cs="Sylfaen"/>
          <w:color w:val="141B3D"/>
          <w:sz w:val="29"/>
          <w:szCs w:val="29"/>
        </w:rPr>
        <w:t>10</w:t>
      </w:r>
      <w:r w:rsidRPr="00042AD7">
        <w:rPr>
          <w:rFonts w:cs="Sylfaen"/>
          <w:color w:val="141B3D"/>
          <w:sz w:val="29"/>
          <w:szCs w:val="29"/>
        </w:rPr>
        <w:t xml:space="preserve">0 </w:t>
      </w:r>
      <w:proofErr w:type="spellStart"/>
      <w:r w:rsidRPr="00042AD7">
        <w:rPr>
          <w:rFonts w:cs="Sylfaen"/>
          <w:color w:val="141B3D"/>
          <w:sz w:val="29"/>
          <w:szCs w:val="29"/>
        </w:rPr>
        <w:t>კომპლექტი</w:t>
      </w:r>
      <w:proofErr w:type="spellEnd"/>
      <w:r w:rsidRPr="00042AD7">
        <w:rPr>
          <w:rFonts w:cs="Sylfaen"/>
          <w:color w:val="141B3D"/>
          <w:sz w:val="29"/>
          <w:szCs w:val="29"/>
        </w:rPr>
        <w:t xml:space="preserve"> </w:t>
      </w:r>
      <w:proofErr w:type="spellStart"/>
      <w:r w:rsidRPr="00042AD7">
        <w:rPr>
          <w:rFonts w:cs="Sylfaen"/>
          <w:color w:val="141B3D"/>
          <w:sz w:val="29"/>
          <w:szCs w:val="29"/>
        </w:rPr>
        <w:t>ბანკომატის</w:t>
      </w:r>
      <w:proofErr w:type="spellEnd"/>
      <w:r w:rsidRPr="00042AD7">
        <w:rPr>
          <w:rFonts w:cs="Sylfaen"/>
          <w:color w:val="141B3D"/>
          <w:sz w:val="29"/>
          <w:szCs w:val="29"/>
        </w:rPr>
        <w:t xml:space="preserve"> </w:t>
      </w:r>
      <w:proofErr w:type="spellStart"/>
      <w:r w:rsidRPr="00042AD7">
        <w:rPr>
          <w:rFonts w:cs="Sylfaen"/>
          <w:color w:val="141B3D"/>
          <w:sz w:val="29"/>
          <w:szCs w:val="29"/>
        </w:rPr>
        <w:t>კასეტის</w:t>
      </w:r>
      <w:proofErr w:type="spellEnd"/>
      <w:r w:rsidRPr="00042AD7">
        <w:rPr>
          <w:rFonts w:cs="Sylfaen"/>
          <w:color w:val="141B3D"/>
          <w:sz w:val="29"/>
          <w:szCs w:val="29"/>
        </w:rPr>
        <w:t xml:space="preserve"> </w:t>
      </w:r>
      <w:proofErr w:type="spellStart"/>
      <w:r w:rsidRPr="00042AD7">
        <w:rPr>
          <w:rFonts w:cs="Sylfaen"/>
          <w:color w:val="141B3D"/>
          <w:sz w:val="29"/>
          <w:szCs w:val="29"/>
        </w:rPr>
        <w:t>შესყიდვაზე</w:t>
      </w:r>
      <w:proofErr w:type="spellEnd"/>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4B8A396B" w:rsidR="00633247" w:rsidRPr="001C15B4" w:rsidRDefault="00633247" w:rsidP="0046033E">
          <w:pPr>
            <w:pStyle w:val="TOCHeading"/>
            <w:rPr>
              <w:rFonts w:asciiTheme="minorHAnsi" w:eastAsiaTheme="minorHAnsi" w:hAnsiTheme="minorHAnsi" w:cstheme="minorHAnsi"/>
              <w:b w:val="0"/>
              <w:bCs w:val="0"/>
              <w:color w:val="auto"/>
              <w:sz w:val="24"/>
              <w:szCs w:val="56"/>
              <w:lang w:val="ka-GE" w:eastAsia="en-US"/>
            </w:rPr>
          </w:pPr>
        </w:p>
        <w:p w14:paraId="5400A5EE" w14:textId="60205905" w:rsidR="00D600FD" w:rsidRDefault="00633247" w:rsidP="00D600FD">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p>
        <w:p w14:paraId="37EA6BA3" w14:textId="5E16E7D7" w:rsidR="00D600FD" w:rsidRDefault="00000000">
          <w:pPr>
            <w:pStyle w:val="TOC1"/>
            <w:rPr>
              <w:rFonts w:asciiTheme="minorHAnsi" w:eastAsiaTheme="minorEastAsia" w:hAnsiTheme="minorHAnsi"/>
              <w:noProof/>
              <w:color w:val="auto"/>
              <w:sz w:val="22"/>
              <w:szCs w:val="22"/>
            </w:rPr>
          </w:pPr>
          <w:hyperlink w:anchor="_Toc171454712" w:history="1">
            <w:r w:rsidR="00D600FD" w:rsidRPr="004878BB">
              <w:rPr>
                <w:rStyle w:val="Hyperlink"/>
                <w:rFonts w:eastAsiaTheme="majorEastAsia" w:cstheme="majorBidi"/>
                <w:b/>
                <w:noProof/>
                <w:lang w:val="ka-GE" w:eastAsia="ja-JP"/>
              </w:rPr>
              <w:t>ინსტრუქცია ტენდერში მონაწილეთათვის</w:t>
            </w:r>
            <w:r w:rsidR="00D600FD">
              <w:rPr>
                <w:noProof/>
                <w:webHidden/>
              </w:rPr>
              <w:tab/>
            </w:r>
            <w:r w:rsidR="00D600FD">
              <w:rPr>
                <w:noProof/>
                <w:webHidden/>
              </w:rPr>
              <w:fldChar w:fldCharType="begin"/>
            </w:r>
            <w:r w:rsidR="00D600FD">
              <w:rPr>
                <w:noProof/>
                <w:webHidden/>
              </w:rPr>
              <w:instrText xml:space="preserve"> PAGEREF _Toc171454712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37300D54" w14:textId="51A187C7" w:rsidR="00D600FD" w:rsidRDefault="00000000">
          <w:pPr>
            <w:pStyle w:val="TOC1"/>
            <w:rPr>
              <w:rFonts w:asciiTheme="minorHAnsi" w:eastAsiaTheme="minorEastAsia" w:hAnsiTheme="minorHAnsi"/>
              <w:noProof/>
              <w:color w:val="auto"/>
              <w:sz w:val="22"/>
              <w:szCs w:val="22"/>
            </w:rPr>
          </w:pPr>
          <w:hyperlink w:anchor="_Toc171454713" w:history="1">
            <w:r w:rsidR="00D600FD" w:rsidRPr="004878BB">
              <w:rPr>
                <w:rStyle w:val="Hyperlink"/>
                <w:rFonts w:eastAsiaTheme="majorEastAsia" w:cstheme="majorBidi"/>
                <w:b/>
                <w:noProof/>
                <w:lang w:val="ka-GE" w:eastAsia="ja-JP"/>
              </w:rPr>
              <w:t>სატენდერო მოთხოვნები</w:t>
            </w:r>
            <w:r w:rsidR="00D600FD">
              <w:rPr>
                <w:noProof/>
                <w:webHidden/>
              </w:rPr>
              <w:tab/>
            </w:r>
            <w:r w:rsidR="00D600FD">
              <w:rPr>
                <w:noProof/>
                <w:webHidden/>
              </w:rPr>
              <w:fldChar w:fldCharType="begin"/>
            </w:r>
            <w:r w:rsidR="00D600FD">
              <w:rPr>
                <w:noProof/>
                <w:webHidden/>
              </w:rPr>
              <w:instrText xml:space="preserve"> PAGEREF _Toc171454713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497C236F" w14:textId="606D46F6" w:rsidR="00D600FD" w:rsidRDefault="00000000">
          <w:pPr>
            <w:pStyle w:val="TOC1"/>
            <w:rPr>
              <w:rFonts w:asciiTheme="minorHAnsi" w:eastAsiaTheme="minorEastAsia" w:hAnsiTheme="minorHAnsi"/>
              <w:noProof/>
              <w:color w:val="auto"/>
              <w:sz w:val="22"/>
              <w:szCs w:val="22"/>
            </w:rPr>
          </w:pPr>
          <w:hyperlink w:anchor="_Toc171454714" w:history="1">
            <w:r w:rsidR="00D600FD" w:rsidRPr="004878BB">
              <w:rPr>
                <w:rStyle w:val="Hyperlink"/>
                <w:rFonts w:eastAsiaTheme="majorEastAsia" w:cstheme="majorBidi"/>
                <w:b/>
                <w:noProof/>
                <w:lang w:val="ka-GE" w:eastAsia="ja-JP"/>
              </w:rPr>
              <w:t>ანგარიშსწორების პირობები</w:t>
            </w:r>
            <w:r w:rsidR="00D600FD">
              <w:rPr>
                <w:noProof/>
                <w:webHidden/>
              </w:rPr>
              <w:tab/>
            </w:r>
            <w:r w:rsidR="00D600FD">
              <w:rPr>
                <w:noProof/>
                <w:webHidden/>
              </w:rPr>
              <w:fldChar w:fldCharType="begin"/>
            </w:r>
            <w:r w:rsidR="00D600FD">
              <w:rPr>
                <w:noProof/>
                <w:webHidden/>
              </w:rPr>
              <w:instrText xml:space="preserve"> PAGEREF _Toc171454714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3A6843F3" w14:textId="7D3AAC38" w:rsidR="00D600FD" w:rsidRDefault="00000000">
          <w:pPr>
            <w:pStyle w:val="TOC1"/>
            <w:rPr>
              <w:rFonts w:asciiTheme="minorHAnsi" w:eastAsiaTheme="minorEastAsia" w:hAnsiTheme="minorHAnsi"/>
              <w:noProof/>
              <w:color w:val="auto"/>
              <w:sz w:val="22"/>
              <w:szCs w:val="22"/>
            </w:rPr>
          </w:pPr>
          <w:hyperlink w:anchor="_Toc171454715" w:history="1">
            <w:r w:rsidR="00D600FD" w:rsidRPr="004878BB">
              <w:rPr>
                <w:rStyle w:val="Hyperlink"/>
                <w:rFonts w:eastAsiaTheme="majorEastAsia" w:cstheme="majorBidi"/>
                <w:b/>
                <w:noProof/>
                <w:lang w:val="ka-GE" w:eastAsia="ja-JP"/>
              </w:rPr>
              <w:t>განფასებასთან დაკავშირებული მოთხოვნები</w:t>
            </w:r>
            <w:r w:rsidR="00D600FD">
              <w:rPr>
                <w:noProof/>
                <w:webHidden/>
              </w:rPr>
              <w:tab/>
            </w:r>
            <w:r w:rsidR="00D600FD">
              <w:rPr>
                <w:noProof/>
                <w:webHidden/>
              </w:rPr>
              <w:fldChar w:fldCharType="begin"/>
            </w:r>
            <w:r w:rsidR="00D600FD">
              <w:rPr>
                <w:noProof/>
                <w:webHidden/>
              </w:rPr>
              <w:instrText xml:space="preserve"> PAGEREF _Toc171454715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1B5D625D" w14:textId="622E81D5" w:rsidR="00D600FD" w:rsidRDefault="00000000" w:rsidP="00380D4F">
          <w:pPr>
            <w:pStyle w:val="TOC1"/>
            <w:rPr>
              <w:rFonts w:asciiTheme="minorHAnsi" w:eastAsiaTheme="minorEastAsia" w:hAnsiTheme="minorHAnsi"/>
              <w:noProof/>
              <w:color w:val="auto"/>
              <w:sz w:val="22"/>
              <w:szCs w:val="22"/>
            </w:rPr>
          </w:pPr>
          <w:hyperlink w:anchor="_Toc171454716" w:history="1">
            <w:r w:rsidR="00D600FD" w:rsidRPr="004878BB">
              <w:rPr>
                <w:rStyle w:val="Hyperlink"/>
                <w:rFonts w:eastAsiaTheme="majorEastAsia" w:cstheme="majorBidi"/>
                <w:b/>
                <w:noProof/>
                <w:lang w:val="ka-GE" w:eastAsia="ja-JP"/>
              </w:rPr>
              <w:t>დამატებითი ინფორმაცია:</w:t>
            </w:r>
            <w:r w:rsidR="00D600FD">
              <w:rPr>
                <w:noProof/>
                <w:webHidden/>
              </w:rPr>
              <w:tab/>
            </w:r>
            <w:r w:rsidR="00D600FD">
              <w:rPr>
                <w:noProof/>
                <w:webHidden/>
              </w:rPr>
              <w:fldChar w:fldCharType="begin"/>
            </w:r>
            <w:r w:rsidR="00D600FD">
              <w:rPr>
                <w:noProof/>
                <w:webHidden/>
              </w:rPr>
              <w:instrText xml:space="preserve"> PAGEREF _Toc171454716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689338D7" w14:textId="49C8F7BE" w:rsidR="00D600FD" w:rsidRDefault="00000000">
          <w:pPr>
            <w:pStyle w:val="TOC1"/>
            <w:rPr>
              <w:rFonts w:asciiTheme="minorHAnsi" w:eastAsiaTheme="minorEastAsia" w:hAnsiTheme="minorHAnsi"/>
              <w:noProof/>
              <w:color w:val="auto"/>
              <w:sz w:val="22"/>
              <w:szCs w:val="22"/>
            </w:rPr>
          </w:pPr>
          <w:hyperlink w:anchor="_Toc171454718" w:history="1">
            <w:r w:rsidR="00D600FD" w:rsidRPr="004878BB">
              <w:rPr>
                <w:rStyle w:val="Hyperlink"/>
                <w:rFonts w:cs="Sylfaen"/>
                <w:noProof/>
              </w:rPr>
              <w:t>დანართი 2: საბანკო რეკვიზიტები</w:t>
            </w:r>
            <w:r w:rsidR="00D600FD">
              <w:rPr>
                <w:noProof/>
                <w:webHidden/>
              </w:rPr>
              <w:tab/>
            </w:r>
            <w:r w:rsidR="00FD3B07">
              <w:rPr>
                <w:noProof/>
                <w:webHidden/>
                <w:lang w:val="ka-GE"/>
              </w:rPr>
              <w:t>4</w:t>
            </w:r>
          </w:hyperlink>
        </w:p>
        <w:p w14:paraId="60752384" w14:textId="2422EE85"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255BC9" w:rsidRDefault="00A66B58" w:rsidP="00BD4E7F">
      <w:pPr>
        <w:keepNext/>
        <w:keepLines/>
        <w:spacing w:before="180" w:after="120"/>
        <w:ind w:left="360" w:hanging="360"/>
        <w:outlineLvl w:val="0"/>
        <w:rPr>
          <w:rFonts w:eastAsiaTheme="majorEastAsia" w:cstheme="majorBidi"/>
          <w:b/>
          <w:color w:val="FF671B"/>
          <w:sz w:val="24"/>
          <w:szCs w:val="28"/>
          <w:lang w:eastAsia="ja-JP"/>
        </w:rPr>
      </w:pPr>
      <w:bookmarkStart w:id="10" w:name="_Toc534810151"/>
      <w:bookmarkStart w:id="11" w:name="_Toc171454712"/>
      <w:bookmarkStart w:id="12" w:name="_Toc462407871"/>
      <w:bookmarkEnd w:id="8"/>
      <w:bookmarkEnd w:id="9"/>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10"/>
      <w:bookmarkEnd w:id="11"/>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A63127E"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15C927F2" w14:textId="77777777" w:rsidR="004E1CE0" w:rsidRDefault="004E1CE0" w:rsidP="00A66B58">
      <w:pPr>
        <w:rPr>
          <w:lang w:val="ka-GE"/>
        </w:rPr>
      </w:pPr>
    </w:p>
    <w:p w14:paraId="1652AC47" w14:textId="12C5D35A" w:rsidR="00F8089D" w:rsidRDefault="00F8089D" w:rsidP="00A66B58">
      <w:pPr>
        <w:rPr>
          <w:lang w:val="ka-GE"/>
        </w:rPr>
      </w:pPr>
      <w:r w:rsidRPr="00C05FD1">
        <w:rPr>
          <w:lang w:val="ka-GE"/>
        </w:rPr>
        <w:t xml:space="preserve">სატენდერო კომისია </w:t>
      </w:r>
      <w:r w:rsidR="004E1CE0" w:rsidRPr="00C05FD1">
        <w:rPr>
          <w:lang w:val="ka-GE"/>
        </w:rPr>
        <w:t>გამარჯვებულ</w:t>
      </w:r>
      <w:r w:rsidRPr="00C05FD1">
        <w:rPr>
          <w:lang w:val="ka-GE"/>
        </w:rPr>
        <w:t xml:space="preserve"> პრეტედენტს გამოავლენს ჩამოთვლილი კრიტერიუმების გათვალისწინებით: შემოთავაზებული პროდუქციის ფასი, შემოთავაზებული პროდუქციის </w:t>
      </w:r>
      <w:r w:rsidR="004E1CE0" w:rsidRPr="00C05FD1">
        <w:rPr>
          <w:lang w:val="ka-GE"/>
        </w:rPr>
        <w:t xml:space="preserve">წარმოდგენილი </w:t>
      </w:r>
      <w:r w:rsidR="00D600FD" w:rsidRPr="00C05FD1">
        <w:rPr>
          <w:lang w:val="ka-GE"/>
        </w:rPr>
        <w:t>ს</w:t>
      </w:r>
      <w:r w:rsidR="004E1CE0" w:rsidRPr="00C05FD1">
        <w:rPr>
          <w:lang w:val="ka-GE"/>
        </w:rPr>
        <w:t>პეციფიკაცია, პრეტენდენტის გამოცდილება.</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53702E46" w:rsidR="00C525A4"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r w:rsidR="0001143A">
        <w:rPr>
          <w:lang w:val="ka-GE"/>
        </w:rPr>
        <w:t>.</w:t>
      </w:r>
    </w:p>
    <w:p w14:paraId="11AC087A" w14:textId="089E57A0" w:rsidR="0001143A" w:rsidRDefault="0001143A" w:rsidP="00C525A4">
      <w:pPr>
        <w:rPr>
          <w:lang w:val="ka-GE"/>
        </w:rPr>
      </w:pPr>
    </w:p>
    <w:p w14:paraId="3D944A2D" w14:textId="55BEA014" w:rsidR="0001143A" w:rsidRPr="00BF7F13" w:rsidRDefault="0001143A" w:rsidP="00C525A4">
      <w:pPr>
        <w:rPr>
          <w:lang w:val="ka-GE"/>
        </w:rPr>
      </w:pPr>
      <w:r>
        <w:rPr>
          <w:lang w:val="ka-GE"/>
        </w:rPr>
        <w:t xml:space="preserve">ბანკი იტოვებს უფლებას, საჭიროების შემთხვევაში, </w:t>
      </w:r>
      <w:r w:rsidRPr="0001143A">
        <w:rPr>
          <w:lang w:val="ka-GE"/>
        </w:rPr>
        <w:t>პრეტენდენტებისაგან</w:t>
      </w:r>
      <w:r>
        <w:rPr>
          <w:lang w:val="ka-GE"/>
        </w:rPr>
        <w:t xml:space="preserve"> გამოითხოვოს</w:t>
      </w:r>
      <w:r w:rsidRPr="0001143A">
        <w:rPr>
          <w:lang w:val="ka-GE"/>
        </w:rPr>
        <w:t xml:space="preserve"> სხვა დამატებითი </w:t>
      </w:r>
      <w:r>
        <w:rPr>
          <w:lang w:val="ka-GE"/>
        </w:rPr>
        <w:t>ინფორმაცია</w:t>
      </w:r>
      <w:r w:rsidRPr="0001143A">
        <w:rPr>
          <w:lang w:val="ka-GE"/>
        </w:rPr>
        <w:t xml:space="preserve"> და/ან წარდგენილი ინფორმაციის</w:t>
      </w:r>
      <w:r w:rsidR="00E65C84">
        <w:rPr>
          <w:lang w:val="ka-GE"/>
        </w:rPr>
        <w:t>/დოკუმენტაციის</w:t>
      </w:r>
      <w:r w:rsidRPr="0001143A">
        <w:rPr>
          <w:lang w:val="ka-GE"/>
        </w:rPr>
        <w:t xml:space="preserve"> დაზუსტება ტენდერის მსვლელობის პერიოდში</w:t>
      </w:r>
      <w:r>
        <w:rPr>
          <w:lang w:val="ka-GE"/>
        </w:rPr>
        <w:t>.</w:t>
      </w:r>
    </w:p>
    <w:p w14:paraId="3B310A9E" w14:textId="77777777" w:rsidR="00C525A4" w:rsidRPr="00BF7F13" w:rsidRDefault="00C525A4" w:rsidP="00C525A4">
      <w:pPr>
        <w:rPr>
          <w:rFonts w:eastAsiaTheme="minorEastAsia"/>
          <w:lang w:val="ka-GE" w:eastAsia="ja-JP"/>
        </w:rPr>
      </w:pPr>
    </w:p>
    <w:p w14:paraId="63712D6E" w14:textId="14422529" w:rsidR="00C525A4" w:rsidRPr="00BF7F13" w:rsidRDefault="00C525A4" w:rsidP="00C525A4">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0AAD2AAC" w14:textId="77777777" w:rsidR="008464E9" w:rsidRDefault="008464E9" w:rsidP="008464E9">
      <w:pPr>
        <w:spacing w:line="276" w:lineRule="auto"/>
        <w:rPr>
          <w:lang w:val="ka-GE"/>
        </w:rPr>
      </w:pPr>
    </w:p>
    <w:p w14:paraId="3AF05C2F" w14:textId="6FA59F9E"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 ან გადაავადოს ტენდერი.</w:t>
      </w:r>
      <w:r w:rsidR="00B97639">
        <w:rPr>
          <w:lang w:val="ka-GE"/>
        </w:rPr>
        <w:t xml:space="preserve"> ბანკი</w:t>
      </w:r>
      <w:r w:rsidR="00B97639" w:rsidRPr="00B97639">
        <w:rPr>
          <w:lang w:val="ka-GE"/>
        </w:rPr>
        <w:t xml:space="preserve">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w:t>
      </w:r>
      <w:r w:rsidR="00B97639">
        <w:rPr>
          <w:lang w:val="ka-GE"/>
        </w:rPr>
        <w:t>პრეტენდენტებს.</w:t>
      </w:r>
    </w:p>
    <w:p w14:paraId="7372B112" w14:textId="6BC5301C" w:rsidR="00A66B58" w:rsidRDefault="00A66B58" w:rsidP="00A66B58">
      <w:pPr>
        <w:rPr>
          <w:lang w:val="ka-GE"/>
        </w:rPr>
      </w:pPr>
    </w:p>
    <w:p w14:paraId="06D39B2F" w14:textId="77777777" w:rsidR="00584C84" w:rsidRPr="00A66B58" w:rsidRDefault="00584C84" w:rsidP="00A66B58">
      <w:pPr>
        <w:rPr>
          <w:lang w:val="ka-GE"/>
        </w:rPr>
      </w:pPr>
    </w:p>
    <w:p w14:paraId="59F0D7D0" w14:textId="52E2E2E0" w:rsidR="00380D4F"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13" w:name="_Toc534810155"/>
      <w:bookmarkStart w:id="14" w:name="_Toc171454713"/>
      <w:r w:rsidRPr="00BF7F13">
        <w:rPr>
          <w:rFonts w:eastAsiaTheme="majorEastAsia" w:cstheme="majorBidi"/>
          <w:b/>
          <w:color w:val="FF671B"/>
          <w:sz w:val="24"/>
          <w:szCs w:val="28"/>
          <w:lang w:val="ka-GE" w:eastAsia="ja-JP"/>
        </w:rPr>
        <w:t>სატენდერო მოთხოვნები</w:t>
      </w:r>
      <w:bookmarkEnd w:id="13"/>
      <w:bookmarkEnd w:id="14"/>
    </w:p>
    <w:p w14:paraId="2293A609" w14:textId="2C503754" w:rsidR="00B8474F" w:rsidRPr="00A61520" w:rsidRDefault="00B8474F" w:rsidP="006646DD">
      <w:pPr>
        <w:pStyle w:val="ListParagraph"/>
        <w:numPr>
          <w:ilvl w:val="0"/>
          <w:numId w:val="15"/>
        </w:numPr>
        <w:spacing w:after="200" w:line="276" w:lineRule="auto"/>
        <w:rPr>
          <w:rFonts w:cs="Sylfaen"/>
          <w:lang w:val="ka-GE"/>
        </w:rPr>
      </w:pPr>
      <w:r w:rsidRPr="00A61520">
        <w:rPr>
          <w:rFonts w:cs="Sylfaen"/>
          <w:lang w:val="ka-GE"/>
        </w:rPr>
        <w:t xml:space="preserve">მიწოდების ვადა: </w:t>
      </w:r>
      <w:r w:rsidR="00395EE5" w:rsidRPr="00A61520">
        <w:rPr>
          <w:rFonts w:cs="Sylfaen"/>
        </w:rPr>
        <w:t xml:space="preserve"> </w:t>
      </w:r>
      <w:r w:rsidR="00D71231" w:rsidRPr="00A61520">
        <w:rPr>
          <w:rFonts w:cs="Sylfaen"/>
          <w:lang w:val="ka-GE"/>
        </w:rPr>
        <w:t xml:space="preserve">შესყიდვის ობიექტის მოწოდება ხდება </w:t>
      </w:r>
      <w:r w:rsidR="003A202F" w:rsidRPr="00A61520">
        <w:rPr>
          <w:rFonts w:cs="Sylfaen"/>
          <w:lang w:val="ka-GE"/>
        </w:rPr>
        <w:t>ერთიანად.</w:t>
      </w:r>
    </w:p>
    <w:p w14:paraId="1555671D" w14:textId="02C7DA5C" w:rsidR="00B8474F" w:rsidRPr="00A61520" w:rsidRDefault="00B8474F" w:rsidP="006646DD">
      <w:pPr>
        <w:pStyle w:val="ListParagraph"/>
        <w:numPr>
          <w:ilvl w:val="0"/>
          <w:numId w:val="15"/>
        </w:numPr>
        <w:spacing w:after="200" w:line="276" w:lineRule="auto"/>
        <w:rPr>
          <w:rFonts w:cs="Sylfaen"/>
          <w:lang w:val="ka-GE"/>
        </w:rPr>
      </w:pPr>
      <w:r w:rsidRPr="00A61520">
        <w:rPr>
          <w:rFonts w:cs="Sylfaen"/>
          <w:lang w:val="ka-GE"/>
        </w:rPr>
        <w:t xml:space="preserve">მიწოდების </w:t>
      </w:r>
      <w:r w:rsidR="00B33F3A" w:rsidRPr="00A61520">
        <w:rPr>
          <w:rFonts w:cs="Sylfaen"/>
          <w:lang w:val="ka-GE"/>
        </w:rPr>
        <w:t>ადგილი</w:t>
      </w:r>
      <w:r w:rsidRPr="00A61520">
        <w:rPr>
          <w:rFonts w:cs="Sylfaen"/>
          <w:lang w:val="ka-GE"/>
        </w:rPr>
        <w:t>:</w:t>
      </w:r>
      <w:r w:rsidR="003A0590" w:rsidRPr="00A61520">
        <w:rPr>
          <w:rFonts w:cs="Sylfaen"/>
          <w:lang w:val="ka-GE"/>
        </w:rPr>
        <w:t xml:space="preserve"> </w:t>
      </w:r>
      <w:r w:rsidR="00DC0CCF" w:rsidRPr="00A61520">
        <w:rPr>
          <w:rFonts w:cs="Sylfaen"/>
          <w:lang w:val="ka-GE"/>
        </w:rPr>
        <w:t>ქ.თბილისი, ჭირნახულის #9</w:t>
      </w:r>
    </w:p>
    <w:p w14:paraId="22C05B65" w14:textId="2E71F02A" w:rsidR="00B8474F" w:rsidRPr="00C05FD1" w:rsidRDefault="00B8474F" w:rsidP="006646DD">
      <w:pPr>
        <w:pStyle w:val="ListParagraph"/>
        <w:numPr>
          <w:ilvl w:val="0"/>
          <w:numId w:val="15"/>
        </w:numPr>
        <w:spacing w:after="200" w:line="276" w:lineRule="auto"/>
        <w:rPr>
          <w:rFonts w:cs="Sylfaen"/>
          <w:b/>
          <w:lang w:val="ka-GE"/>
        </w:rPr>
      </w:pPr>
      <w:r w:rsidRPr="00A61520">
        <w:rPr>
          <w:rFonts w:cs="Sylfaen"/>
          <w:lang w:val="ka-GE"/>
        </w:rPr>
        <w:t>სარეკომენდაციო წერილი:</w:t>
      </w:r>
      <w:r w:rsidRPr="00C05FD1">
        <w:rPr>
          <w:rFonts w:cs="Sylfaen"/>
          <w:lang w:val="ka-GE"/>
        </w:rPr>
        <w:t xml:space="preserve"> პრეტენდენტმა უნდა წარმოადგინოს შემოთავაზებული ბრენდისთვის საქართველოს რეზიდენტი ორგანიზაციის მიერ გაცემული</w:t>
      </w:r>
      <w:r w:rsidR="00C2722A" w:rsidRPr="00C05FD1">
        <w:rPr>
          <w:rFonts w:cs="Sylfaen"/>
          <w:lang w:val="ka-GE"/>
        </w:rPr>
        <w:t>,</w:t>
      </w:r>
      <w:r w:rsidRPr="00C05FD1">
        <w:rPr>
          <w:rFonts w:cs="Sylfaen"/>
          <w:lang w:val="ka-GE"/>
        </w:rPr>
        <w:t xml:space="preserve"> სულ მცირე 1 სარეკომენდაციო წერილი.</w:t>
      </w:r>
    </w:p>
    <w:p w14:paraId="64173CF8" w14:textId="0167DE00" w:rsidR="00B97639" w:rsidRDefault="00B97639" w:rsidP="006646DD">
      <w:pPr>
        <w:pStyle w:val="ListParagraph"/>
        <w:numPr>
          <w:ilvl w:val="0"/>
          <w:numId w:val="15"/>
        </w:numPr>
        <w:spacing w:after="200" w:line="276" w:lineRule="auto"/>
        <w:rPr>
          <w:rFonts w:cs="Sylfaen"/>
          <w:lang w:val="ka-GE"/>
        </w:rPr>
      </w:pPr>
      <w:r w:rsidRPr="00AD3B3D">
        <w:rPr>
          <w:rFonts w:cs="Sylfaen"/>
          <w:lang w:val="ka-GE"/>
        </w:rPr>
        <w:t>ტენდერში მონაწილეობის მისაღებად აუცილებელია პრეტენდეტმა წარმოადგინოს მის შესახებ ინფორმაცია, მათ შორის, საბანკო რეკვიზიტები დანართი N2-ში წარმოდგენილი ფორმით;</w:t>
      </w:r>
    </w:p>
    <w:p w14:paraId="08BC5DAD" w14:textId="71F953BC" w:rsidR="00A61520" w:rsidRDefault="00FF7F27" w:rsidP="00A61520">
      <w:pPr>
        <w:pStyle w:val="ListParagraph"/>
        <w:numPr>
          <w:ilvl w:val="0"/>
          <w:numId w:val="15"/>
        </w:numPr>
        <w:rPr>
          <w:rFonts w:cs="Sylfaen"/>
          <w:lang w:val="ka-GE"/>
        </w:rPr>
      </w:pPr>
      <w:r>
        <w:rPr>
          <w:rFonts w:cs="Sylfaen"/>
          <w:lang w:val="ka-GE"/>
        </w:rPr>
        <w:t>ხელშეკრულების გაფორმებამდე</w:t>
      </w:r>
      <w:r w:rsidR="00A61520" w:rsidRPr="00A61520">
        <w:rPr>
          <w:rFonts w:cs="Sylfaen"/>
          <w:lang w:val="ka-GE"/>
        </w:rPr>
        <w:t xml:space="preserve"> პრეტენდენტი ვალდებულია წარმოადგინოს</w:t>
      </w:r>
      <w:r>
        <w:rPr>
          <w:rFonts w:cs="Sylfaen"/>
          <w:lang w:val="ka-GE"/>
        </w:rPr>
        <w:t xml:space="preserve"> შესასყიდი ობიექტის</w:t>
      </w:r>
      <w:r w:rsidR="00A61520" w:rsidRPr="00A61520">
        <w:rPr>
          <w:rFonts w:cs="Sylfaen"/>
          <w:lang w:val="ka-GE"/>
        </w:rPr>
        <w:t xml:space="preserve"> ნიმუში;</w:t>
      </w:r>
    </w:p>
    <w:p w14:paraId="2DD903B5" w14:textId="056059C0" w:rsidR="00A61520" w:rsidRPr="00A61520" w:rsidRDefault="00A61520" w:rsidP="00A61520">
      <w:pPr>
        <w:pStyle w:val="ListParagraph"/>
        <w:numPr>
          <w:ilvl w:val="0"/>
          <w:numId w:val="15"/>
        </w:numPr>
        <w:rPr>
          <w:rFonts w:cs="Sylfaen"/>
          <w:lang w:val="ka-GE"/>
        </w:rPr>
      </w:pPr>
      <w:r w:rsidRPr="00A61520">
        <w:rPr>
          <w:rFonts w:cs="Sylfaen"/>
          <w:lang w:val="ka-GE"/>
        </w:rPr>
        <w:t>ბანკის მოთხოვნის შემთხვევაში</w:t>
      </w:r>
      <w:r>
        <w:rPr>
          <w:rFonts w:cs="Sylfaen"/>
          <w:lang w:val="ka-GE"/>
        </w:rPr>
        <w:t xml:space="preserve"> </w:t>
      </w:r>
      <w:r w:rsidRPr="00A61520">
        <w:rPr>
          <w:rFonts w:cs="Sylfaen"/>
          <w:lang w:val="ka-GE"/>
        </w:rPr>
        <w:t>პრეტენდენტი ვალდებულია წარმოადგინოს  დეტალური ინფორმაცია საქონლის შესახებ (მწარმოებლის მიერ გაცემული);</w:t>
      </w:r>
    </w:p>
    <w:p w14:paraId="1C78A030" w14:textId="1A0C41C8" w:rsidR="00764122" w:rsidRPr="00764122" w:rsidRDefault="00B8474F" w:rsidP="006646DD">
      <w:pPr>
        <w:pStyle w:val="ListParagraph"/>
        <w:numPr>
          <w:ilvl w:val="0"/>
          <w:numId w:val="15"/>
        </w:numPr>
        <w:spacing w:after="200" w:line="276" w:lineRule="auto"/>
        <w:rPr>
          <w:rFonts w:cs="Sylfaen"/>
          <w:b/>
          <w:lang w:val="ka-GE"/>
        </w:rPr>
      </w:pPr>
      <w:r w:rsidRPr="00BF7F13">
        <w:rPr>
          <w:lang w:val="ka-GE"/>
        </w:rPr>
        <w:t xml:space="preserve">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w:t>
      </w:r>
      <w:r w:rsidR="0089590C">
        <w:rPr>
          <w:lang w:val="ka-GE"/>
        </w:rPr>
        <w:t xml:space="preserve">ანდა გაკოტრების </w:t>
      </w:r>
      <w:r w:rsidRPr="00BF7F13">
        <w:rPr>
          <w:lang w:val="ka-GE"/>
        </w:rPr>
        <w:t>პროცესში.</w:t>
      </w:r>
    </w:p>
    <w:p w14:paraId="75B29E19" w14:textId="006FC2E4" w:rsidR="00764122" w:rsidRPr="006646DD" w:rsidRDefault="00764122" w:rsidP="006646DD">
      <w:pPr>
        <w:pStyle w:val="ListParagraph"/>
        <w:numPr>
          <w:ilvl w:val="0"/>
          <w:numId w:val="15"/>
        </w:numPr>
        <w:spacing w:after="200" w:line="276" w:lineRule="auto"/>
        <w:rPr>
          <w:rFonts w:cs="Sylfaen"/>
          <w:b/>
          <w:lang w:val="ka-GE"/>
        </w:rPr>
      </w:pPr>
      <w:r>
        <w:rPr>
          <w:lang w:val="ka-GE"/>
        </w:rPr>
        <w:t xml:space="preserve">პრეტენდენტს არ უნდა </w:t>
      </w:r>
      <w:r w:rsidR="0089590C">
        <w:rPr>
          <w:lang w:val="ka-GE"/>
        </w:rPr>
        <w:t>უფიქსირდებოდეს საჯარო სამართლებრივი შეზღუდვები (ყადაღა, საგ</w:t>
      </w:r>
      <w:r>
        <w:rPr>
          <w:lang w:val="ka-GE"/>
        </w:rPr>
        <w:t>ადასახადო გირავნობა/იპოთეკა</w:t>
      </w:r>
      <w:r w:rsidR="0089590C">
        <w:rPr>
          <w:lang w:val="ka-GE"/>
        </w:rPr>
        <w:t>) და არ უნდა იყოს რეგისტრირებული მოვალთა რეესტრში.</w:t>
      </w:r>
    </w:p>
    <w:p w14:paraId="5CB68DDC" w14:textId="7201B6C4" w:rsidR="00B80B03" w:rsidRDefault="00B80B03" w:rsidP="00B80B03">
      <w:pPr>
        <w:pStyle w:val="ListParagraph"/>
        <w:spacing w:after="200" w:line="276" w:lineRule="auto"/>
        <w:rPr>
          <w:lang w:val="ka-GE"/>
        </w:rPr>
      </w:pPr>
    </w:p>
    <w:p w14:paraId="46CD74F0" w14:textId="0FB9C457" w:rsidR="00646F20" w:rsidRDefault="00646F20" w:rsidP="00B80B03">
      <w:pPr>
        <w:pStyle w:val="ListParagraph"/>
        <w:spacing w:after="200" w:line="276" w:lineRule="auto"/>
        <w:rPr>
          <w:lang w:val="ka-GE"/>
        </w:rPr>
      </w:pPr>
    </w:p>
    <w:p w14:paraId="64ADF799" w14:textId="17E9685F" w:rsidR="00646F20" w:rsidRDefault="00646F20" w:rsidP="00B80B03">
      <w:pPr>
        <w:pStyle w:val="ListParagraph"/>
        <w:spacing w:after="200" w:line="276" w:lineRule="auto"/>
        <w:rPr>
          <w:lang w:val="ka-GE"/>
        </w:rPr>
      </w:pPr>
    </w:p>
    <w:p w14:paraId="7055C5D9" w14:textId="4739C56C" w:rsidR="00646F20" w:rsidRDefault="00646F20" w:rsidP="00B80B03">
      <w:pPr>
        <w:pStyle w:val="ListParagraph"/>
        <w:spacing w:after="200" w:line="276" w:lineRule="auto"/>
        <w:rPr>
          <w:lang w:val="ka-GE"/>
        </w:rPr>
      </w:pPr>
    </w:p>
    <w:p w14:paraId="0E578998" w14:textId="77777777" w:rsidR="00646F20" w:rsidRDefault="00646F20" w:rsidP="00B80B03">
      <w:pPr>
        <w:pStyle w:val="ListParagraph"/>
        <w:spacing w:after="200" w:line="276" w:lineRule="auto"/>
        <w:rPr>
          <w:lang w:val="ka-GE"/>
        </w:rPr>
      </w:pPr>
    </w:p>
    <w:p w14:paraId="166B086B" w14:textId="4E792483" w:rsidR="00B0613C" w:rsidRPr="00B0613C" w:rsidRDefault="00B0613C" w:rsidP="00B0613C">
      <w:pPr>
        <w:keepNext/>
        <w:keepLines/>
        <w:spacing w:before="180" w:after="120"/>
        <w:ind w:left="360" w:hanging="360"/>
        <w:outlineLvl w:val="0"/>
        <w:rPr>
          <w:rFonts w:eastAsiaTheme="majorEastAsia" w:cstheme="majorBidi"/>
          <w:b/>
          <w:color w:val="FF671B"/>
          <w:sz w:val="24"/>
          <w:szCs w:val="28"/>
          <w:lang w:val="ka-GE" w:eastAsia="ja-JP"/>
        </w:rPr>
      </w:pPr>
      <w:bookmarkStart w:id="15" w:name="_Toc171454714"/>
      <w:r w:rsidRPr="00B0613C">
        <w:rPr>
          <w:rFonts w:eastAsiaTheme="majorEastAsia" w:cstheme="majorBidi"/>
          <w:b/>
          <w:color w:val="FF671B"/>
          <w:sz w:val="24"/>
          <w:szCs w:val="28"/>
          <w:lang w:val="ka-GE" w:eastAsia="ja-JP"/>
        </w:rPr>
        <w:lastRenderedPageBreak/>
        <w:t>ანგარიშსწორების პირობები</w:t>
      </w:r>
      <w:bookmarkEnd w:id="15"/>
    </w:p>
    <w:p w14:paraId="53BBB281" w14:textId="6ED7A1C5" w:rsidR="00B0613C" w:rsidRPr="00C05FD1" w:rsidRDefault="00B0613C" w:rsidP="00B0613C">
      <w:pPr>
        <w:pStyle w:val="ListParagraph"/>
        <w:numPr>
          <w:ilvl w:val="0"/>
          <w:numId w:val="15"/>
        </w:numPr>
        <w:spacing w:after="200" w:line="276" w:lineRule="auto"/>
        <w:rPr>
          <w:lang w:val="ka-GE"/>
        </w:rPr>
      </w:pPr>
      <w:r w:rsidRPr="00C05FD1">
        <w:rPr>
          <w:lang w:val="ka-GE"/>
        </w:rPr>
        <w:t>ანგარიშსწორებ</w:t>
      </w:r>
      <w:r w:rsidR="00850933">
        <w:rPr>
          <w:lang w:val="ka-GE"/>
        </w:rPr>
        <w:t>ის</w:t>
      </w:r>
      <w:r w:rsidRPr="00C05FD1">
        <w:rPr>
          <w:lang w:val="ka-GE"/>
        </w:rPr>
        <w:t xml:space="preserve"> </w:t>
      </w:r>
      <w:r w:rsidR="00A61520">
        <w:rPr>
          <w:lang w:val="ka-GE"/>
        </w:rPr>
        <w:t>პირობების შეთანხმება მოხდება ხელშეკრულების გაფორმების პროცესში.</w:t>
      </w:r>
    </w:p>
    <w:p w14:paraId="1ED0435D" w14:textId="5325B41E" w:rsidR="00FE60B5" w:rsidRDefault="00FE60B5" w:rsidP="00BD4E7F">
      <w:pPr>
        <w:keepNext/>
        <w:keepLines/>
        <w:spacing w:before="180" w:after="120"/>
        <w:ind w:left="360" w:hanging="360"/>
        <w:outlineLvl w:val="0"/>
        <w:rPr>
          <w:rFonts w:eastAsiaTheme="majorEastAsia" w:cstheme="majorBidi"/>
          <w:b/>
          <w:color w:val="FF671B"/>
          <w:sz w:val="24"/>
          <w:szCs w:val="28"/>
          <w:lang w:val="ka-GE" w:eastAsia="ja-JP"/>
        </w:rPr>
      </w:pPr>
      <w:bookmarkStart w:id="16" w:name="_Toc171454715"/>
      <w:r>
        <w:rPr>
          <w:rFonts w:eastAsiaTheme="majorEastAsia" w:cstheme="majorBidi"/>
          <w:b/>
          <w:color w:val="FF671B"/>
          <w:sz w:val="24"/>
          <w:szCs w:val="28"/>
          <w:lang w:val="ka-GE" w:eastAsia="ja-JP"/>
        </w:rPr>
        <w:t>განფასებასთან დაკავშირებული მოთხოვნები</w:t>
      </w:r>
      <w:bookmarkEnd w:id="16"/>
    </w:p>
    <w:p w14:paraId="2F50C7E9" w14:textId="666AFF1A" w:rsidR="00FE60B5" w:rsidRPr="00FC75B4" w:rsidRDefault="00FE60B5" w:rsidP="00FE60B5">
      <w:pPr>
        <w:pStyle w:val="ListParagraph"/>
        <w:numPr>
          <w:ilvl w:val="0"/>
          <w:numId w:val="15"/>
        </w:numPr>
        <w:rPr>
          <w:lang w:val="ka-GE"/>
        </w:rPr>
      </w:pPr>
      <w:r w:rsidRPr="00FC75B4">
        <w:rPr>
          <w:lang w:val="ka-GE"/>
        </w:rPr>
        <w:t xml:space="preserve">ფასების მოწოდება ხდება </w:t>
      </w:r>
      <w:r w:rsidRPr="00380D4F">
        <w:rPr>
          <w:b/>
          <w:lang w:val="ka-GE"/>
        </w:rPr>
        <w:t>დანართი №1-ის</w:t>
      </w:r>
      <w:r w:rsidRPr="00FC75B4">
        <w:rPr>
          <w:lang w:val="ka-GE"/>
        </w:rPr>
        <w:t xml:space="preserve"> მიხედვით</w:t>
      </w:r>
      <w:r w:rsidR="00380D4F">
        <w:rPr>
          <w:lang w:val="ka-GE"/>
        </w:rPr>
        <w:t>, რომელშიც</w:t>
      </w:r>
      <w:r w:rsidR="00646F20">
        <w:rPr>
          <w:lang w:val="ka-GE"/>
        </w:rPr>
        <w:t xml:space="preserve"> ასევე</w:t>
      </w:r>
      <w:r w:rsidR="00380D4F">
        <w:rPr>
          <w:lang w:val="ka-GE"/>
        </w:rPr>
        <w:t xml:space="preserve"> წარმოდგენილია საქონლის დეტალური აღწერილობა </w:t>
      </w:r>
    </w:p>
    <w:p w14:paraId="1C03DE8D" w14:textId="77777777" w:rsidR="00380D4F" w:rsidRDefault="00380D4F" w:rsidP="00380D4F">
      <w:pPr>
        <w:pStyle w:val="ListParagraph"/>
        <w:spacing w:after="200" w:line="276" w:lineRule="auto"/>
        <w:rPr>
          <w:lang w:val="ka-GE"/>
        </w:rPr>
      </w:pPr>
    </w:p>
    <w:p w14:paraId="6B400734" w14:textId="33334B28"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17" w:name="_Toc171454716"/>
      <w:r w:rsidRPr="00D140FB">
        <w:rPr>
          <w:rFonts w:eastAsiaTheme="majorEastAsia" w:cstheme="majorBidi"/>
          <w:b/>
          <w:color w:val="FF671B"/>
          <w:sz w:val="24"/>
          <w:szCs w:val="28"/>
          <w:lang w:val="ka-GE" w:eastAsia="ja-JP"/>
        </w:rPr>
        <w:t>დამატებითი ინფორმაცია:</w:t>
      </w:r>
      <w:bookmarkEnd w:id="17"/>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12"/>
    <w:p w14:paraId="54BD3245" w14:textId="6AAA33BA" w:rsidR="00C50B02" w:rsidRDefault="00C50B02">
      <w:pPr>
        <w:jc w:val="left"/>
        <w:rPr>
          <w:rFonts w:eastAsiaTheme="minorEastAsia"/>
          <w:lang w:eastAsia="ja-JP"/>
        </w:rPr>
      </w:pPr>
      <w:r>
        <w:br w:type="page"/>
      </w:r>
    </w:p>
    <w:p w14:paraId="6BDF7306" w14:textId="68F628A7" w:rsidR="001804C8" w:rsidRPr="00C525A4" w:rsidRDefault="00B13200" w:rsidP="0046033E">
      <w:pPr>
        <w:pStyle w:val="a"/>
        <w:numPr>
          <w:ilvl w:val="0"/>
          <w:numId w:val="0"/>
        </w:numPr>
        <w:ind w:left="360" w:hanging="360"/>
        <w:rPr>
          <w:rFonts w:eastAsiaTheme="minorHAnsi" w:cs="Sylfaen"/>
          <w:color w:val="231F20"/>
          <w:sz w:val="22"/>
          <w:szCs w:val="20"/>
          <w:lang w:val="en-US" w:eastAsia="en-US"/>
        </w:rPr>
      </w:pPr>
      <w:bookmarkStart w:id="18" w:name="_Toc171454718"/>
      <w:r w:rsidRPr="0046033E">
        <w:rPr>
          <w:rFonts w:eastAsiaTheme="minorHAnsi" w:cs="Sylfaen"/>
          <w:color w:val="231F20"/>
          <w:sz w:val="22"/>
          <w:szCs w:val="20"/>
          <w:lang w:eastAsia="en-US"/>
        </w:rPr>
        <w:lastRenderedPageBreak/>
        <w:t>დ</w:t>
      </w:r>
      <w:r w:rsidR="0016141B" w:rsidRPr="00C525A4">
        <w:rPr>
          <w:rFonts w:eastAsiaTheme="minorHAnsi" w:cs="Sylfaen"/>
          <w:color w:val="231F20"/>
          <w:sz w:val="22"/>
          <w:szCs w:val="20"/>
          <w:lang w:eastAsia="en-US"/>
        </w:rPr>
        <w:t>ანართი 2: საბანკო რეკვიზიტები</w:t>
      </w:r>
      <w:bookmarkEnd w:id="1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16407">
      <w:footerReference w:type="default" r:id="rId13"/>
      <w:headerReference w:type="first" r:id="rId14"/>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52D26" w14:textId="77777777" w:rsidR="00115706" w:rsidRDefault="00115706" w:rsidP="002E7950">
      <w:r>
        <w:separator/>
      </w:r>
    </w:p>
  </w:endnote>
  <w:endnote w:type="continuationSeparator" w:id="0">
    <w:p w14:paraId="612D0457" w14:textId="77777777" w:rsidR="00115706" w:rsidRDefault="00115706"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0C3469E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FF7F27">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FF7F27">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4559" w14:textId="77777777" w:rsidR="00115706" w:rsidRDefault="00115706" w:rsidP="002E7950">
      <w:r>
        <w:separator/>
      </w:r>
    </w:p>
  </w:footnote>
  <w:footnote w:type="continuationSeparator" w:id="0">
    <w:p w14:paraId="503E0081" w14:textId="77777777" w:rsidR="00115706" w:rsidRDefault="00115706"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77AAC"/>
    <w:multiLevelType w:val="hybridMultilevel"/>
    <w:tmpl w:val="91ECB010"/>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406F7A"/>
    <w:multiLevelType w:val="hybridMultilevel"/>
    <w:tmpl w:val="DB96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74960"/>
    <w:multiLevelType w:val="hybridMultilevel"/>
    <w:tmpl w:val="1BC2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C9C0DC4"/>
    <w:multiLevelType w:val="hybridMultilevel"/>
    <w:tmpl w:val="DC321F5E"/>
    <w:lvl w:ilvl="0" w:tplc="4A4CC504">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86EA1"/>
    <w:multiLevelType w:val="hybridMultilevel"/>
    <w:tmpl w:val="E746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3" w15:restartNumberingAfterBreak="0">
    <w:nsid w:val="599D2E40"/>
    <w:multiLevelType w:val="hybridMultilevel"/>
    <w:tmpl w:val="3538F5CC"/>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81C0E"/>
    <w:multiLevelType w:val="hybridMultilevel"/>
    <w:tmpl w:val="E7E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776805">
    <w:abstractNumId w:val="22"/>
  </w:num>
  <w:num w:numId="2" w16cid:durableId="1668901511">
    <w:abstractNumId w:val="3"/>
  </w:num>
  <w:num w:numId="3" w16cid:durableId="1518419742">
    <w:abstractNumId w:val="28"/>
  </w:num>
  <w:num w:numId="4" w16cid:durableId="417365160">
    <w:abstractNumId w:val="20"/>
  </w:num>
  <w:num w:numId="5" w16cid:durableId="245267730">
    <w:abstractNumId w:val="19"/>
  </w:num>
  <w:num w:numId="6" w16cid:durableId="1897467818">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280186246">
    <w:abstractNumId w:val="9"/>
  </w:num>
  <w:num w:numId="8" w16cid:durableId="283082240">
    <w:abstractNumId w:val="25"/>
  </w:num>
  <w:num w:numId="9" w16cid:durableId="331104833">
    <w:abstractNumId w:val="27"/>
  </w:num>
  <w:num w:numId="10" w16cid:durableId="526794262">
    <w:abstractNumId w:val="5"/>
  </w:num>
  <w:num w:numId="11" w16cid:durableId="1854301522">
    <w:abstractNumId w:val="26"/>
  </w:num>
  <w:num w:numId="12" w16cid:durableId="102236580">
    <w:abstractNumId w:val="0"/>
  </w:num>
  <w:num w:numId="13" w16cid:durableId="1058675559">
    <w:abstractNumId w:val="2"/>
  </w:num>
  <w:num w:numId="14" w16cid:durableId="1343581381">
    <w:abstractNumId w:val="29"/>
  </w:num>
  <w:num w:numId="15" w16cid:durableId="378283117">
    <w:abstractNumId w:val="10"/>
  </w:num>
  <w:num w:numId="16" w16cid:durableId="1144615847">
    <w:abstractNumId w:val="24"/>
  </w:num>
  <w:num w:numId="17" w16cid:durableId="1352143788">
    <w:abstractNumId w:val="11"/>
  </w:num>
  <w:num w:numId="18" w16cid:durableId="1666929652">
    <w:abstractNumId w:val="17"/>
  </w:num>
  <w:num w:numId="19" w16cid:durableId="1820416284">
    <w:abstractNumId w:val="21"/>
  </w:num>
  <w:num w:numId="20" w16cid:durableId="1000550164">
    <w:abstractNumId w:val="18"/>
  </w:num>
  <w:num w:numId="21" w16cid:durableId="330958191">
    <w:abstractNumId w:val="6"/>
  </w:num>
  <w:num w:numId="22" w16cid:durableId="1110052371">
    <w:abstractNumId w:val="12"/>
  </w:num>
  <w:num w:numId="23" w16cid:durableId="325674633">
    <w:abstractNumId w:val="15"/>
  </w:num>
  <w:num w:numId="24" w16cid:durableId="1331526591">
    <w:abstractNumId w:val="7"/>
  </w:num>
  <w:num w:numId="25" w16cid:durableId="1122845664">
    <w:abstractNumId w:val="14"/>
  </w:num>
  <w:num w:numId="26" w16cid:durableId="1539127889">
    <w:abstractNumId w:val="8"/>
  </w:num>
  <w:num w:numId="27" w16cid:durableId="2062898327">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673608524">
    <w:abstractNumId w:val="16"/>
  </w:num>
  <w:num w:numId="29" w16cid:durableId="340550182">
    <w:abstractNumId w:val="1"/>
  </w:num>
  <w:num w:numId="30" w16cid:durableId="160317879">
    <w:abstractNumId w:val="4"/>
  </w:num>
  <w:num w:numId="31" w16cid:durableId="2108193742">
    <w:abstractNumId w:val="13"/>
  </w:num>
  <w:num w:numId="32" w16cid:durableId="1899047094">
    <w:abstractNumId w:val="23"/>
  </w:num>
  <w:num w:numId="33" w16cid:durableId="37755568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2AD7"/>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6E"/>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084"/>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1EC"/>
    <w:rsid w:val="0010393A"/>
    <w:rsid w:val="0010412E"/>
    <w:rsid w:val="001045AC"/>
    <w:rsid w:val="001049E0"/>
    <w:rsid w:val="00104BF6"/>
    <w:rsid w:val="00105943"/>
    <w:rsid w:val="0010629D"/>
    <w:rsid w:val="0010717D"/>
    <w:rsid w:val="00107241"/>
    <w:rsid w:val="00107BB1"/>
    <w:rsid w:val="00110782"/>
    <w:rsid w:val="001140C1"/>
    <w:rsid w:val="00114101"/>
    <w:rsid w:val="00115706"/>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4EE5"/>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3D0B"/>
    <w:rsid w:val="0022546A"/>
    <w:rsid w:val="00225AE4"/>
    <w:rsid w:val="002263BB"/>
    <w:rsid w:val="00226A61"/>
    <w:rsid w:val="00227091"/>
    <w:rsid w:val="00227DC9"/>
    <w:rsid w:val="00227E9C"/>
    <w:rsid w:val="00230C86"/>
    <w:rsid w:val="00231598"/>
    <w:rsid w:val="00232A7A"/>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75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0D4F"/>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590"/>
    <w:rsid w:val="003A0C08"/>
    <w:rsid w:val="003A16B3"/>
    <w:rsid w:val="003A202F"/>
    <w:rsid w:val="003A2777"/>
    <w:rsid w:val="003A29EA"/>
    <w:rsid w:val="003A3206"/>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E34"/>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0E2"/>
    <w:rsid w:val="004C22AB"/>
    <w:rsid w:val="004C2ED6"/>
    <w:rsid w:val="004C3713"/>
    <w:rsid w:val="004C378F"/>
    <w:rsid w:val="004C4643"/>
    <w:rsid w:val="004C4877"/>
    <w:rsid w:val="004C6AE9"/>
    <w:rsid w:val="004C6C65"/>
    <w:rsid w:val="004C6D35"/>
    <w:rsid w:val="004C7F99"/>
    <w:rsid w:val="004D04CE"/>
    <w:rsid w:val="004D0805"/>
    <w:rsid w:val="004D10F0"/>
    <w:rsid w:val="004D14E7"/>
    <w:rsid w:val="004D16EA"/>
    <w:rsid w:val="004D32B5"/>
    <w:rsid w:val="004D3B0B"/>
    <w:rsid w:val="004D4300"/>
    <w:rsid w:val="004D486D"/>
    <w:rsid w:val="004D529D"/>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89F"/>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1DE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6F20"/>
    <w:rsid w:val="00647F5F"/>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31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87EB4"/>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933"/>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98E"/>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9DF"/>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520"/>
    <w:rsid w:val="00A61904"/>
    <w:rsid w:val="00A61D29"/>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C750B"/>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2F89"/>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3048"/>
    <w:rsid w:val="00B4397C"/>
    <w:rsid w:val="00B4398A"/>
    <w:rsid w:val="00B452D6"/>
    <w:rsid w:val="00B45484"/>
    <w:rsid w:val="00B45AF2"/>
    <w:rsid w:val="00B45D95"/>
    <w:rsid w:val="00B4691C"/>
    <w:rsid w:val="00B46EF0"/>
    <w:rsid w:val="00B472EC"/>
    <w:rsid w:val="00B4786D"/>
    <w:rsid w:val="00B47FC9"/>
    <w:rsid w:val="00B5020B"/>
    <w:rsid w:val="00B51DD1"/>
    <w:rsid w:val="00B521A1"/>
    <w:rsid w:val="00B536A9"/>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70D"/>
    <w:rsid w:val="00B831E5"/>
    <w:rsid w:val="00B83E5C"/>
    <w:rsid w:val="00B83F41"/>
    <w:rsid w:val="00B8474F"/>
    <w:rsid w:val="00B858DC"/>
    <w:rsid w:val="00B86145"/>
    <w:rsid w:val="00B86171"/>
    <w:rsid w:val="00B869DC"/>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5FD1"/>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A7F7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1B14"/>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0FD"/>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946"/>
    <w:rsid w:val="00DC0CCF"/>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162"/>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5410"/>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DCE"/>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5B4"/>
    <w:rsid w:val="00FC7C1B"/>
    <w:rsid w:val="00FD0205"/>
    <w:rsid w:val="00FD0248"/>
    <w:rsid w:val="00FD05DA"/>
    <w:rsid w:val="00FD0899"/>
    <w:rsid w:val="00FD0ACC"/>
    <w:rsid w:val="00FD15A9"/>
    <w:rsid w:val="00FD1738"/>
    <w:rsid w:val="00FD17A3"/>
    <w:rsid w:val="00FD3633"/>
    <w:rsid w:val="00FD3B07"/>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90A"/>
    <w:rsid w:val="00FE7020"/>
    <w:rsid w:val="00FE7D75"/>
    <w:rsid w:val="00FF024E"/>
    <w:rsid w:val="00FF1698"/>
    <w:rsid w:val="00FF1F97"/>
    <w:rsid w:val="00FF2120"/>
    <w:rsid w:val="00FF2921"/>
    <w:rsid w:val="00FF3717"/>
    <w:rsid w:val="00FF3D46"/>
    <w:rsid w:val="00FF400F"/>
    <w:rsid w:val="00FF5A54"/>
    <w:rsid w:val="00FF6367"/>
    <w:rsid w:val="00FF6700"/>
    <w:rsid w:val="00FF69EC"/>
    <w:rsid w:val="00FF7BEA"/>
    <w:rsid w:val="00FF7DA4"/>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vatc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mkvatc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023B15-5A12-4753-8051-F3AA97C5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5</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Mariam Kvatchadze</cp:lastModifiedBy>
  <cp:revision>54</cp:revision>
  <cp:lastPrinted>2019-10-17T14:03:00Z</cp:lastPrinted>
  <dcterms:created xsi:type="dcterms:W3CDTF">2024-06-30T15:41:00Z</dcterms:created>
  <dcterms:modified xsi:type="dcterms:W3CDTF">2026-06-12T14:59:00Z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