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5019B90" w:rsidR="00B13E5A" w:rsidRPr="00B13E5A" w:rsidRDefault="00E82A05" w:rsidP="00EC701A">
      <w:pPr>
        <w:spacing w:after="0"/>
        <w:jc w:val="center"/>
        <w:rPr>
          <w:rFonts w:ascii="Sylfaen" w:hAnsi="Sylfaen" w:cs="Sylfaen"/>
          <w:b/>
          <w:sz w:val="28"/>
          <w:szCs w:val="28"/>
          <w:lang w:val="ka-GE"/>
        </w:rPr>
      </w:pPr>
      <w:r w:rsidRPr="00E82A05">
        <w:rPr>
          <w:rFonts w:ascii="Sylfaen" w:hAnsi="Sylfaen" w:cs="Sylfaen"/>
          <w:b/>
          <w:sz w:val="28"/>
          <w:szCs w:val="28"/>
        </w:rPr>
        <w:t>შესყიდვის საგანს წარმოადგენს</w:t>
      </w:r>
      <w:r w:rsidR="00C009F7">
        <w:rPr>
          <w:rFonts w:ascii="Sylfaen" w:hAnsi="Sylfaen" w:cs="Sylfaen"/>
          <w:b/>
          <w:sz w:val="28"/>
          <w:szCs w:val="28"/>
        </w:rPr>
        <w:t xml:space="preserve"> </w:t>
      </w:r>
      <w:r w:rsidR="00C009F7" w:rsidRPr="00C009F7">
        <w:rPr>
          <w:rFonts w:ascii="Sylfaen" w:hAnsi="Sylfaen" w:cs="Sylfaen"/>
          <w:b/>
          <w:sz w:val="28"/>
          <w:szCs w:val="28"/>
        </w:rPr>
        <w:t>მართვისა და მონიტორინგის სისტემის მოწყობა Microcom RTU-ს გამოყენებით</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5B5A3F2C" w14:textId="1E08EBF3" w:rsidR="00D94E3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FB72C3" w:rsidRPr="00FB72C3">
        <w:rPr>
          <w:rFonts w:ascii="Sylfaen" w:hAnsi="Sylfaen" w:cs="Sylfaen"/>
          <w:b/>
          <w:sz w:val="20"/>
          <w:szCs w:val="20"/>
          <w:lang w:val="ka-GE"/>
        </w:rPr>
        <w:t>მართვისა და მონიტორინგის სისტემის მოწყობა Microcom RTU-ს გამოყენებით</w:t>
      </w:r>
    </w:p>
    <w:p w14:paraId="7F1E593F" w14:textId="77777777" w:rsidR="00FB72C3" w:rsidRPr="00D94E33" w:rsidRDefault="00FB72C3"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39C31AB"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EC701A" w:rsidRPr="00EC701A">
        <w:rPr>
          <w:rFonts w:ascii="Sylfaen" w:hAnsi="Sylfaen" w:cs="Sylfaen"/>
          <w:sz w:val="20"/>
          <w:szCs w:val="20"/>
          <w:lang w:val="ka-GE"/>
        </w:rPr>
        <w:t>ტექნიკური დავალებ</w:t>
      </w:r>
      <w:r w:rsidR="00BB7F25">
        <w:rPr>
          <w:rFonts w:ascii="Sylfaen" w:hAnsi="Sylfaen" w:cs="Sylfaen"/>
          <w:sz w:val="20"/>
          <w:szCs w:val="20"/>
          <w:lang w:val="ka-GE"/>
        </w:rPr>
        <w:t>ებში ლოკაციების მიხედვით</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r w:rsidRPr="00EC701A">
        <w:rPr>
          <w:rFonts w:ascii="Sylfaen" w:hAnsi="Sylfaen" w:cs="Sylfaen"/>
          <w:color w:val="222222"/>
          <w:sz w:val="20"/>
          <w:szCs w:val="20"/>
          <w:shd w:val="clear" w:color="auto" w:fill="FFFFFF"/>
        </w:rPr>
        <w:t>პრეტენდენტმა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უნდა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წარმოადგინოს</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განფასება</w:t>
      </w:r>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1EE3D8DD" w:rsidR="0054538A" w:rsidRDefault="0054538A" w:rsidP="00BA3128">
      <w:pPr>
        <w:spacing w:after="0"/>
        <w:jc w:val="both"/>
        <w:rPr>
          <w:rFonts w:ascii="Sylfaen" w:hAnsi="Sylfaen"/>
          <w:sz w:val="20"/>
          <w:szCs w:val="20"/>
          <w:lang w:val="ka-GE"/>
        </w:rPr>
      </w:pPr>
      <w:r w:rsidRPr="00EC701A">
        <w:rPr>
          <w:rFonts w:ascii="Sylfaen" w:hAnsi="Sylfaen"/>
          <w:sz w:val="20"/>
          <w:szCs w:val="20"/>
          <w:lang w:val="ka-GE"/>
        </w:rPr>
        <w:t xml:space="preserve">სამუშაოების უნდა განხორციელდეს </w:t>
      </w:r>
      <w:r w:rsidR="009837E3">
        <w:rPr>
          <w:rFonts w:ascii="Sylfaen" w:hAnsi="Sylfaen"/>
          <w:sz w:val="20"/>
          <w:szCs w:val="20"/>
          <w:lang w:val="ka-GE"/>
        </w:rPr>
        <w:t>ტექნიკურ დავალებაში მოცემულ ლოკაციებზე.</w:t>
      </w:r>
    </w:p>
    <w:p w14:paraId="6895FF79" w14:textId="77777777" w:rsidR="009837E3" w:rsidRPr="00EC701A" w:rsidRDefault="009837E3" w:rsidP="00BA3128">
      <w:pPr>
        <w:spacing w:after="0"/>
        <w:jc w:val="both"/>
        <w:rPr>
          <w:rFonts w:ascii="Sylfaen" w:hAnsi="Sylfaen"/>
          <w:sz w:val="20"/>
          <w:szCs w:val="20"/>
          <w:lang w:val="ka-GE"/>
        </w:rPr>
      </w:pP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44D5009" w14:textId="4CCDF5FE" w:rsidR="009837E3" w:rsidRPr="009837E3" w:rsidRDefault="009837E3" w:rsidP="00BA3128">
      <w:pPr>
        <w:jc w:val="both"/>
        <w:rPr>
          <w:rFonts w:ascii="Sylfaen" w:hAnsi="Sylfaen"/>
          <w:b/>
          <w:bCs/>
          <w:color w:val="EE0000"/>
          <w:sz w:val="20"/>
          <w:szCs w:val="20"/>
          <w:lang w:val="ka-GE"/>
        </w:rPr>
      </w:pPr>
      <w:r w:rsidRPr="009837E3">
        <w:rPr>
          <w:rFonts w:ascii="Sylfaen" w:hAnsi="Sylfaen"/>
          <w:b/>
          <w:bCs/>
          <w:color w:val="EE0000"/>
          <w:sz w:val="20"/>
          <w:szCs w:val="20"/>
          <w:lang w:val="ka-GE"/>
        </w:rPr>
        <w:t xml:space="preserve">აუცილებელი პირობა: პრეტენდენტმა უნდა მოახდინოს ყველა ლოკაციაზე ვიზიტი და </w:t>
      </w:r>
      <w:r>
        <w:rPr>
          <w:rFonts w:ascii="Sylfaen" w:hAnsi="Sylfaen"/>
          <w:b/>
          <w:bCs/>
          <w:color w:val="EE0000"/>
          <w:sz w:val="20"/>
          <w:szCs w:val="20"/>
          <w:lang w:val="ka-GE"/>
        </w:rPr>
        <w:t xml:space="preserve">ობიექტის </w:t>
      </w:r>
      <w:r w:rsidRPr="009837E3">
        <w:rPr>
          <w:rFonts w:ascii="Sylfaen" w:hAnsi="Sylfaen"/>
          <w:b/>
          <w:bCs/>
          <w:color w:val="EE0000"/>
          <w:sz w:val="20"/>
          <w:szCs w:val="20"/>
          <w:lang w:val="ka-GE"/>
        </w:rPr>
        <w:t>დათვალიერება შესწავლის მიზნით</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lastRenderedPageBreak/>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76C86ED1"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9837E3">
        <w:rPr>
          <w:rFonts w:ascii="Sylfaen" w:hAnsi="Sylfaen" w:cs="Sylfaen"/>
          <w:b/>
          <w:sz w:val="20"/>
          <w:szCs w:val="20"/>
          <w:lang w:val="ka-GE"/>
        </w:rPr>
        <w:t>10 ივლისი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466C9">
          <w:rPr>
            <w:rStyle w:val="Hyperlink"/>
            <w:rFonts w:ascii="Sylfaen" w:hAnsi="Sylfaen" w:cs="Sylfaen"/>
            <w:sz w:val="20"/>
            <w:szCs w:val="20"/>
          </w:rPr>
          <w:t>vtsiklauri@gwp.ge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უფასოა, </w:t>
      </w:r>
      <w:r w:rsidRPr="00EC701A">
        <w:rPr>
          <w:rFonts w:ascii="Sylfaen" w:hAnsi="Sylfaen"/>
          <w:sz w:val="20"/>
          <w:szCs w:val="20"/>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5EE53BD7" w14:textId="0471751C"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lastRenderedPageBreak/>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3"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BC8967A"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4" w:history="1">
        <w:r w:rsidR="00356ADD" w:rsidRPr="00A00907">
          <w:rPr>
            <w:rStyle w:val="Hyperlink"/>
            <w:rFonts w:ascii="Sylfaen" w:hAnsi="Sylfaen"/>
            <w:sz w:val="20"/>
            <w:szCs w:val="20"/>
            <w:lang w:val="ka-GE"/>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5"/>
      <w:footerReference w:type="default" r:id="rId16"/>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2436" w14:textId="77777777" w:rsidR="00227A57" w:rsidRDefault="00227A57" w:rsidP="007902EA">
      <w:pPr>
        <w:spacing w:after="0" w:line="240" w:lineRule="auto"/>
      </w:pPr>
      <w:r>
        <w:separator/>
      </w:r>
    </w:p>
  </w:endnote>
  <w:endnote w:type="continuationSeparator" w:id="0">
    <w:p w14:paraId="35260E18" w14:textId="77777777" w:rsidR="00227A57" w:rsidRDefault="00227A5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292C" w14:textId="77777777" w:rsidR="00227A57" w:rsidRDefault="00227A57" w:rsidP="007902EA">
      <w:pPr>
        <w:spacing w:after="0" w:line="240" w:lineRule="auto"/>
      </w:pPr>
      <w:r>
        <w:separator/>
      </w:r>
    </w:p>
  </w:footnote>
  <w:footnote w:type="continuationSeparator" w:id="0">
    <w:p w14:paraId="33BF4389" w14:textId="77777777" w:rsidR="00227A57" w:rsidRDefault="00227A5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0072C"/>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27A57"/>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055E9"/>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37E3"/>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D45FB"/>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EFE"/>
    <w:rsid w:val="00C009F7"/>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19EA"/>
    <w:rsid w:val="00CD246B"/>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ematia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27</cp:revision>
  <cp:lastPrinted>2015-07-27T06:36:00Z</cp:lastPrinted>
  <dcterms:created xsi:type="dcterms:W3CDTF">2026-01-27T11:25:00Z</dcterms:created>
  <dcterms:modified xsi:type="dcterms:W3CDTF">2026-06-25T06:43:00Z</dcterms:modified>
</cp:coreProperties>
</file>