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44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0C1912">
        <w:tc>
          <w:tcPr>
            <w:tcW w:w="442" w:type="dxa"/>
          </w:tcPr>
          <w:p w:rsidR="00955874" w:rsidRPr="00CD01BF" w:rsidRDefault="00CD01BF" w:rsidP="000C191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:rsidR="00955874" w:rsidRDefault="00955874" w:rsidP="000C1912"/>
        </w:tc>
        <w:tc>
          <w:tcPr>
            <w:tcW w:w="5845" w:type="dxa"/>
          </w:tcPr>
          <w:p w:rsidR="00955874" w:rsidRDefault="00955874" w:rsidP="000C1912"/>
        </w:tc>
      </w:tr>
      <w:tr w:rsidR="00CD01BF" w:rsidTr="000C1912">
        <w:tc>
          <w:tcPr>
            <w:tcW w:w="442" w:type="dxa"/>
          </w:tcPr>
          <w:p w:rsidR="00955874" w:rsidRDefault="00955874" w:rsidP="000C1912">
            <w:pPr>
              <w:jc w:val="center"/>
            </w:pPr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0C191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</w:tcPr>
          <w:p w:rsidR="00955874" w:rsidRPr="003D2403" w:rsidRDefault="00EB2490" w:rsidP="000C1912">
            <w:pPr>
              <w:rPr>
                <w:lang w:val="ka-GE"/>
              </w:rPr>
            </w:pPr>
            <w:r w:rsidRPr="00E12C76">
              <w:rPr>
                <w:lang w:val="ka-GE"/>
              </w:rPr>
              <w:t xml:space="preserve">ტენდერი </w:t>
            </w:r>
            <w:r w:rsidR="00FD160A">
              <w:rPr>
                <w:lang w:val="ka-GE"/>
              </w:rPr>
              <w:t>2</w:t>
            </w:r>
            <w:r w:rsidRPr="00E12C76">
              <w:rPr>
                <w:lang w:val="ka-GE"/>
              </w:rPr>
              <w:t xml:space="preserve">ერთეული ძალოვანი ტრანსფორმატორის </w:t>
            </w:r>
            <w:r w:rsidR="00FD160A">
              <w:rPr>
                <w:lang w:val="ka-GE"/>
              </w:rPr>
              <w:t>შესყიდვაზე</w:t>
            </w:r>
          </w:p>
        </w:tc>
      </w:tr>
      <w:tr w:rsidR="00CD01BF" w:rsidTr="000C1912">
        <w:tc>
          <w:tcPr>
            <w:tcW w:w="442" w:type="dxa"/>
          </w:tcPr>
          <w:p w:rsidR="00955874" w:rsidRDefault="00955874" w:rsidP="000C1912">
            <w:pPr>
              <w:jc w:val="center"/>
            </w:pPr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0C191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:rsidR="00D324CA" w:rsidRDefault="00FD160A" w:rsidP="000C191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1000 kVA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ზეთიანი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ძალოვანი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ტრანსფორმატორი</w:t>
            </w:r>
            <w:proofErr w:type="spellEnd"/>
          </w:p>
          <w:p w:rsidR="00FD160A" w:rsidRDefault="00FD160A" w:rsidP="000C1912">
            <w:pPr>
              <w:pStyle w:val="Heading4"/>
              <w:outlineLvl w:val="3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ზოგადი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კონსტრუქციული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პარამეტრები</w:t>
            </w:r>
            <w:proofErr w:type="spellEnd"/>
          </w:p>
          <w:p w:rsidR="00FD160A" w:rsidRDefault="00FD160A" w:rsidP="000C1912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ნომინალური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სიმძლავრე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 1000 kVA.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ტიპი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სამფაზა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ზეთიანი,</w:t>
            </w:r>
            <w:r>
              <w:rPr>
                <w:rFonts w:ascii="Calibri" w:hAnsi="Calibri" w:cs="Calibri"/>
                <w:b/>
                <w:bCs/>
                <w:color w:val="000000"/>
              </w:rPr>
              <w:t>Conservator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type transformer.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გაგრილების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ტიპი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 ONAN.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მონტაჟის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ტიპი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შიდა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გარე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(Outdoor/Indoor)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მონტაჟისთვის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მუშაობის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სიხშირე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 50 Hz.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გრაგნილების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შეერთების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სქემა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ჯგუფი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 Dyn11.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აკუსტიკური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ხმაურის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სიმძლავრის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დონე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არაუმეტეს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65 dB (A) (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საერთაშორისო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სტანდარტის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 50588-1 </w:t>
            </w:r>
            <w:proofErr w:type="spellStart"/>
            <w:r>
              <w:rPr>
                <w:rFonts w:ascii="Calibri" w:hAnsi="Calibri" w:cs="Calibri"/>
                <w:color w:val="000000"/>
              </w:rPr>
              <w:t>შესაბამისად</w:t>
            </w:r>
            <w:proofErr w:type="spellEnd"/>
            <w:r>
              <w:rPr>
                <w:rFonts w:ascii="Calibri" w:hAnsi="Calibri" w:cs="Calibri"/>
                <w:color w:val="000000"/>
              </w:rPr>
              <w:t>).</w:t>
            </w:r>
          </w:p>
          <w:p w:rsidR="00FD160A" w:rsidRDefault="00FD160A" w:rsidP="000C1912">
            <w:pPr>
              <w:pStyle w:val="Heading4"/>
              <w:outlineLvl w:val="3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ძაბვის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იზოლაციისა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მოკლე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ჩართვის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მახასიათებლები</w:t>
            </w:r>
            <w:proofErr w:type="spellEnd"/>
          </w:p>
          <w:p w:rsidR="00FD160A" w:rsidRDefault="00FD160A" w:rsidP="000C1912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ნომინალური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ძაბვა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მაღალ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მხარეზე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(VN):</w:t>
            </w:r>
            <w:r>
              <w:rPr>
                <w:rFonts w:ascii="Calibri" w:hAnsi="Calibri" w:cs="Calibri"/>
                <w:color w:val="000000"/>
              </w:rPr>
              <w:t xml:space="preserve"> 10 000 V (10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კვ</w:t>
            </w:r>
            <w:proofErr w:type="spellEnd"/>
            <w:r>
              <w:rPr>
                <w:rFonts w:ascii="Calibri" w:hAnsi="Calibri" w:cs="Calibri"/>
                <w:color w:val="000000"/>
              </w:rPr>
              <w:t>).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ძაბვის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რეგულირება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(VN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მხარეს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):</w:t>
            </w:r>
            <w:r>
              <w:rPr>
                <w:rFonts w:ascii="Calibri" w:hAnsi="Calibri" w:cs="Calibri"/>
                <w:color w:val="000000"/>
              </w:rPr>
              <w:t> Off-Circuit Tap Changer (OCTC), five positions: +5%, +2.5%, 0, −2.5%, −5%.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ნომინალური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ძაბვა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დაბალ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მხარეზე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(NN):</w:t>
            </w:r>
            <w:r>
              <w:rPr>
                <w:rFonts w:ascii="Calibri" w:hAnsi="Calibri" w:cs="Calibri"/>
                <w:color w:val="000000"/>
              </w:rPr>
              <w:t xml:space="preserve"> 400/230 V (0.4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კვ</w:t>
            </w:r>
            <w:proofErr w:type="spellEnd"/>
            <w:r>
              <w:rPr>
                <w:rFonts w:ascii="Calibri" w:hAnsi="Calibri" w:cs="Calibri"/>
                <w:color w:val="000000"/>
              </w:rPr>
              <w:t>).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მოკლე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ჩართვის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ძაბვა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Uk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):</w:t>
            </w:r>
            <w:r>
              <w:rPr>
                <w:rFonts w:ascii="Calibri" w:hAnsi="Calibri" w:cs="Calibri"/>
                <w:color w:val="000000"/>
              </w:rPr>
              <w:t> 6% (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დასაშვები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ცდომილება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IEC 60076-ის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მიხედვით</w:t>
            </w:r>
            <w:proofErr w:type="spellEnd"/>
            <w:r>
              <w:rPr>
                <w:rFonts w:ascii="Calibri" w:hAnsi="Calibri" w:cs="Calibri"/>
                <w:color w:val="000000"/>
              </w:rPr>
              <w:t>).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მოწყობილობის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უმაღლესი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სამუშაო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ძაბვა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(Um):</w:t>
            </w:r>
            <w:r>
              <w:rPr>
                <w:rFonts w:ascii="Calibri" w:hAnsi="Calibri" w:cs="Calibri"/>
                <w:color w:val="000000"/>
              </w:rPr>
              <w:t xml:space="preserve"> 12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კვ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ნომინალური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იმპულსური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გამძლე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ძაბვა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(BIL,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მეხის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იმიტაცია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):</w:t>
            </w: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მინიმუმ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75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პიკური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>).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სამრეწველო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სიხშირის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გამძლე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ძაბვა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(1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წუთის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განმავლობაში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):</w:t>
            </w: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მინიმუმ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28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კვ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:rsidR="00FD160A" w:rsidRDefault="00FD160A" w:rsidP="000C1912">
            <w:pPr>
              <w:pStyle w:val="Heading4"/>
              <w:outlineLvl w:val="3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ენერგოეფექტურობა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მაქსიმალური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დანაკარგები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EcoDesign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Tier 2 / EN 50588-1)</w:t>
            </w:r>
          </w:p>
          <w:p w:rsidR="00FD160A" w:rsidRDefault="00FD160A" w:rsidP="000C1912">
            <w:pPr>
              <w:pStyle w:val="pdq2pgselectionanchorcontain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No-load losses (Po)</w:t>
            </w:r>
          </w:p>
          <w:p w:rsidR="00FD160A" w:rsidRDefault="00FD160A" w:rsidP="000C1912">
            <w:pPr>
              <w:pStyle w:val="NormalWeb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არაუმეტეს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980 W</w:t>
            </w:r>
          </w:p>
          <w:p w:rsidR="00FD160A" w:rsidRDefault="00FD160A" w:rsidP="000C1912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Load losses at 75°C (</w:t>
            </w:r>
            <w:proofErr w:type="spellStart"/>
            <w:r>
              <w:rPr>
                <w:rFonts w:ascii="Calibri" w:hAnsi="Calibri" w:cs="Calibri"/>
                <w:color w:val="000000"/>
              </w:rPr>
              <w:t>Pk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  <w:p w:rsidR="00FD160A" w:rsidRDefault="00FD160A" w:rsidP="000C1912">
            <w:pPr>
              <w:pStyle w:val="NormalWeb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არაუმეტეს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10500 W</w:t>
            </w:r>
          </w:p>
          <w:p w:rsidR="00FD160A" w:rsidRDefault="00FD160A" w:rsidP="000C1912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FD160A" w:rsidRDefault="00FD160A" w:rsidP="000C1912">
            <w:pPr>
              <w:pStyle w:val="Heading4"/>
              <w:outlineLvl w:val="3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4.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მასალები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კომპლექტაცია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დამცავი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მოწყობილობები</w:t>
            </w:r>
            <w:proofErr w:type="spellEnd"/>
          </w:p>
          <w:p w:rsidR="00FD160A" w:rsidRDefault="00FD160A" w:rsidP="000C1912">
            <w:pPr>
              <w:pStyle w:val="NormalWeb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გრაგნილები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  <w:p w:rsidR="00FD160A" w:rsidRDefault="00FD160A" w:rsidP="000C1912">
            <w:pPr>
              <w:pStyle w:val="NormalWeb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Both HV and LV windings shall be made exclusively from high-conductivity electrolytic copper.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Aluminium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windings are not acceptable.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როგორც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მაღალი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(10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ისე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დაბალი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(0.4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მხარის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ყველა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ფაზის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გრაგნილი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შესრულებული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უნდა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იყოს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უმაღლესი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ხარისხის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ელექტროტექნიკური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სპილენძისგან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ალუმინის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გამოყენება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დაუშვებელია</w:t>
            </w:r>
            <w:proofErr w:type="spellEnd"/>
            <w:r>
              <w:rPr>
                <w:rFonts w:ascii="Calibri" w:hAnsi="Calibri" w:cs="Calibri"/>
                <w:color w:val="000000"/>
              </w:rPr>
              <w:t>).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საიზოლაციო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ზეთი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ტრანსფორმატორი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შევსებული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უნდა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იყოს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ახალი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გაუზავებელი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მინერალური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საიზოლაციო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ზეთით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(IEC 60296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სტანდარტის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შესაბამისი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რომელიც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აუცილებლად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თავისუფალი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ქლორირებული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ბიფენილებისგან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(PCB-Free).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Cable Boxes: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  <w:p w:rsidR="00FD160A" w:rsidRDefault="00FD160A" w:rsidP="000C1912">
            <w:pPr>
              <w:pStyle w:val="NormalWeb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minimum continuous current rating 1600 A</w:t>
            </w:r>
          </w:p>
          <w:p w:rsidR="00FD160A" w:rsidRDefault="00FD160A" w:rsidP="000C1912">
            <w:pPr>
              <w:pStyle w:val="NormalWeb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დაბალი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მხარის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ყუთში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გათვალისწინებული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უნდა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იყოს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განიერი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სპილენძის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სალტეები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Busbars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</w:rPr>
              <w:t>ხვრელებით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მინიმუმ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1440 A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დენის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გატარებისა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რამდენიმე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პარალელური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კაბელის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მიერთების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შესაძლებლობით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სავალდებულო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აქსესუარები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ფასში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  <w:p w:rsidR="00FD160A" w:rsidRDefault="00FD160A" w:rsidP="000C1912">
            <w:pPr>
              <w:pStyle w:val="NormalWeb"/>
              <w:numPr>
                <w:ilvl w:val="1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ბუჰგოლცის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გაზური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</w:rPr>
              <w:t>რელე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ორკონტაქტიანი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სიგნალიზაცია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ავარიული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გათიშვა</w:t>
            </w:r>
            <w:proofErr w:type="spellEnd"/>
            <w:r>
              <w:rPr>
                <w:rFonts w:ascii="Calibri" w:hAnsi="Calibri" w:cs="Calibri"/>
                <w:color w:val="000000"/>
              </w:rPr>
              <w:t>).</w:t>
            </w:r>
          </w:p>
          <w:p w:rsidR="00FD160A" w:rsidRDefault="00FD160A" w:rsidP="000C1912">
            <w:pPr>
              <w:pStyle w:val="NormalWeb"/>
              <w:numPr>
                <w:ilvl w:val="1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ზეთის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ტემპერატურის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ისრიანი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თერმომეტრი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მინიმუმ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>
              <w:rPr>
                <w:rFonts w:ascii="Calibri" w:hAnsi="Calibri" w:cs="Calibri"/>
                <w:color w:val="000000"/>
              </w:rPr>
              <w:t>ელექტრული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კონტაქტით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მაქსიმალური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ტემპერატურის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ფიქსაციის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ისრით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:rsidR="00FD160A" w:rsidRDefault="00FD160A" w:rsidP="000C1912">
            <w:pPr>
              <w:pStyle w:val="NormalWeb"/>
              <w:numPr>
                <w:ilvl w:val="1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ზეთის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დონის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მაჩვენებელი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ვიზუალური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მაგნიტური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განთავსებული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გამაფართოებელ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ავზზე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:rsidR="00FD160A" w:rsidRDefault="00FD160A" w:rsidP="000C1912">
            <w:pPr>
              <w:pStyle w:val="NormalWeb"/>
              <w:numPr>
                <w:ilvl w:val="1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წნევის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ავარიულად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დამგდები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სარქველი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(Pressure Relief Valve)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ავზის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სახურავზე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:rsidR="00FD160A" w:rsidRDefault="00FD160A" w:rsidP="000C1912">
            <w:pPr>
              <w:pStyle w:val="NormalWeb"/>
              <w:numPr>
                <w:ilvl w:val="1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სილიკაგელის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ჰაერგამშრობი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ფილტრი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ზეთის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ტენისგან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დასაცავად</w:t>
            </w:r>
            <w:proofErr w:type="spellEnd"/>
            <w:r>
              <w:rPr>
                <w:rFonts w:ascii="Calibri" w:hAnsi="Calibri" w:cs="Calibri"/>
                <w:color w:val="000000"/>
              </w:rPr>
              <w:t>).</w:t>
            </w:r>
          </w:p>
          <w:p w:rsidR="00FD160A" w:rsidRDefault="00FD160A" w:rsidP="000C1912">
            <w:pPr>
              <w:pStyle w:val="NormalWeb"/>
              <w:numPr>
                <w:ilvl w:val="1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ზეთის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დასაცლელი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შესავსები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სინჯის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ასაღები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ვენტილები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სარქველები</w:t>
            </w:r>
            <w:proofErr w:type="spellEnd"/>
            <w:r>
              <w:rPr>
                <w:rFonts w:ascii="Calibri" w:hAnsi="Calibri" w:cs="Calibri"/>
                <w:color w:val="000000"/>
              </w:rPr>
              <w:t>).</w:t>
            </w:r>
          </w:p>
          <w:p w:rsidR="00FD160A" w:rsidRDefault="00FD160A" w:rsidP="000C1912">
            <w:pPr>
              <w:pStyle w:val="NormalWeb"/>
              <w:numPr>
                <w:ilvl w:val="1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ორმხრივი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დასამიწებელი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მომჭერები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Earthing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terminals).</w:t>
            </w:r>
          </w:p>
          <w:p w:rsidR="00FD160A" w:rsidRDefault="00FD160A" w:rsidP="000C1912">
            <w:pPr>
              <w:pStyle w:val="NormalWeb"/>
              <w:numPr>
                <w:ilvl w:val="1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სატრანსპორტო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გორგოლაჭები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თვლები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გრძივი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განივი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გადაადგილებისთვის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:rsidR="00FD160A" w:rsidRDefault="00FD160A" w:rsidP="000C1912">
            <w:pPr>
              <w:pStyle w:val="NormalWeb"/>
              <w:numPr>
                <w:ilvl w:val="1"/>
                <w:numId w:val="5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საპასპორტო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ლითონის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ფირფიტა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(Rating plate) </w:t>
            </w:r>
            <w:proofErr w:type="spellStart"/>
            <w:r>
              <w:rPr>
                <w:rFonts w:ascii="Calibri" w:hAnsi="Calibri" w:cs="Calibri"/>
                <w:color w:val="000000"/>
              </w:rPr>
              <w:t>ტრანსფორმატორის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კორპუსზე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:rsidR="00FD160A" w:rsidRPr="003878AA" w:rsidRDefault="00FD160A" w:rsidP="000C1912">
            <w:pPr>
              <w:rPr>
                <w:lang w:val="ka-GE"/>
              </w:rPr>
            </w:pPr>
          </w:p>
        </w:tc>
      </w:tr>
      <w:tr w:rsidR="00CD01BF" w:rsidTr="000C1912">
        <w:tc>
          <w:tcPr>
            <w:tcW w:w="442" w:type="dxa"/>
          </w:tcPr>
          <w:p w:rsidR="00955874" w:rsidRDefault="00955874" w:rsidP="000C1912">
            <w:pPr>
              <w:jc w:val="center"/>
            </w:pPr>
            <w:r>
              <w:lastRenderedPageBreak/>
              <w:t>3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0C191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955874" w:rsidRDefault="00FD160A" w:rsidP="000C1912">
            <w:pPr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მოთხოვნები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მწარმოებლისა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დოკუმენტაციის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მიმართ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a-GE"/>
              </w:rPr>
              <w:t>:</w:t>
            </w:r>
          </w:p>
          <w:p w:rsidR="00FD160A" w:rsidRDefault="00FD160A" w:rsidP="000C1912">
            <w:pPr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:rsidR="00FD160A" w:rsidRDefault="00FD160A" w:rsidP="000C1912">
            <w:pPr>
              <w:pStyle w:val="NormalWeb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ქარხნული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გამოცდის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ოქმები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თითოეულ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მოწოდებულ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ერთეულს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თან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უნდა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ახლდეს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მწარმოებელი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ქარხნის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მიერ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გაცემული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ინდივიდუალური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საგამოცდო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ოქმი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(Routine Tests IEC 60076-ის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მიხედვით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სადაც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დაფიქსირებული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იქნება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დანაკარგების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რეალური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გაზომილი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ციფრები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:rsidR="00FD160A" w:rsidRDefault="00FD160A" w:rsidP="000C1912">
            <w:pPr>
              <w:pStyle w:val="NormalWeb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სერტიფიკატები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მწარმოებელ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ქარხანას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უნდა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გააჩნდეს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ISO 9001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ISO 14001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სერტიფიკატები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ხოლო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პროდუქციას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საერთაშორისო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შესაბამისობის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სერტიფიკატი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(CE, KEMA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ეკვივალენტი</w:t>
            </w:r>
            <w:proofErr w:type="spellEnd"/>
            <w:r>
              <w:rPr>
                <w:rFonts w:ascii="Calibri" w:hAnsi="Calibri" w:cs="Calibri"/>
                <w:color w:val="000000"/>
              </w:rPr>
              <w:t>).</w:t>
            </w:r>
          </w:p>
          <w:p w:rsidR="00FD160A" w:rsidRPr="00FD160A" w:rsidRDefault="00FD160A" w:rsidP="000C1912">
            <w:pPr>
              <w:rPr>
                <w:lang w:val="ka-GE"/>
              </w:rPr>
            </w:pPr>
          </w:p>
        </w:tc>
      </w:tr>
      <w:tr w:rsidR="00CD01BF" w:rsidTr="000C1912">
        <w:tc>
          <w:tcPr>
            <w:tcW w:w="442" w:type="dxa"/>
          </w:tcPr>
          <w:p w:rsidR="00955874" w:rsidRDefault="00955874" w:rsidP="000C1912">
            <w:pPr>
              <w:jc w:val="center"/>
            </w:pPr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0C191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3878AA" w:rsidRDefault="003878AA" w:rsidP="000C191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CD01BF" w:rsidTr="000C1912">
        <w:trPr>
          <w:trHeight w:val="377"/>
        </w:trPr>
        <w:tc>
          <w:tcPr>
            <w:tcW w:w="442" w:type="dxa"/>
          </w:tcPr>
          <w:p w:rsidR="00955874" w:rsidRDefault="00955874" w:rsidP="000C1912">
            <w:pPr>
              <w:jc w:val="center"/>
            </w:pPr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0C191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0C1912" w:rsidP="000C1912">
            <w:pPr>
              <w:rPr>
                <w:lang w:val="ka-GE"/>
              </w:rPr>
            </w:pPr>
            <w:r>
              <w:t>7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0C1912">
        <w:tc>
          <w:tcPr>
            <w:tcW w:w="442" w:type="dxa"/>
          </w:tcPr>
          <w:p w:rsidR="00955874" w:rsidRDefault="00955874" w:rsidP="000C1912">
            <w:pPr>
              <w:jc w:val="center"/>
            </w:pPr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0C191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="00FD160A">
              <w:rPr>
                <w:rFonts w:ascii="Sylfaen" w:hAnsi="Sylfaen" w:cs="Sylfaen"/>
                <w:lang w:val="ka-GE"/>
              </w:rPr>
              <w:t>/მიწოდების პირობა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E12C76" w:rsidRDefault="000C1912" w:rsidP="000C1912">
            <w:pPr>
              <w:rPr>
                <w:lang w:val="ka-GE"/>
              </w:rPr>
            </w:pPr>
            <w:r>
              <w:t>30</w:t>
            </w:r>
            <w:r w:rsidR="00E12C76">
              <w:rPr>
                <w:lang w:val="ka-GE"/>
              </w:rPr>
              <w:t xml:space="preserve"> </w:t>
            </w:r>
            <w:r w:rsidR="00E62DA7">
              <w:rPr>
                <w:lang w:val="ka-GE"/>
              </w:rPr>
              <w:t xml:space="preserve">კალენდარული </w:t>
            </w:r>
            <w:bookmarkStart w:id="0" w:name="_GoBack"/>
            <w:bookmarkEnd w:id="0"/>
            <w:r w:rsidR="00E12C76">
              <w:rPr>
                <w:lang w:val="ka-GE"/>
              </w:rPr>
              <w:t>დღე</w:t>
            </w:r>
          </w:p>
        </w:tc>
      </w:tr>
      <w:tr w:rsidR="00955874" w:rsidTr="000C1912">
        <w:tc>
          <w:tcPr>
            <w:tcW w:w="442" w:type="dxa"/>
          </w:tcPr>
          <w:p w:rsidR="00955874" w:rsidRDefault="00955874" w:rsidP="000C1912">
            <w:pPr>
              <w:jc w:val="center"/>
            </w:pPr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0C191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E12C76" w:rsidP="000C191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955874" w:rsidTr="000C1912">
        <w:tc>
          <w:tcPr>
            <w:tcW w:w="442" w:type="dxa"/>
          </w:tcPr>
          <w:p w:rsidR="00955874" w:rsidRDefault="00955874" w:rsidP="000C1912">
            <w:pPr>
              <w:jc w:val="center"/>
            </w:pPr>
            <w:r>
              <w:t>8</w:t>
            </w:r>
          </w:p>
        </w:tc>
        <w:tc>
          <w:tcPr>
            <w:tcW w:w="3063" w:type="dxa"/>
            <w:vAlign w:val="center"/>
          </w:tcPr>
          <w:p w:rsidR="00955874" w:rsidRPr="00B92314" w:rsidRDefault="00E12C76" w:rsidP="000C1912">
            <w:pPr>
              <w:rPr>
                <w:rFonts w:ascii="AcadNusx" w:hAnsi="AcadNusx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955874" w:rsidRPr="00DD5ABD" w:rsidRDefault="00763B82" w:rsidP="000C1912">
            <w:pPr>
              <w:rPr>
                <w:lang w:val="ka-GE"/>
              </w:rPr>
            </w:pPr>
            <w:r>
              <w:rPr>
                <w:lang w:val="ka-GE"/>
              </w:rPr>
              <w:t>დიმიტრი ხარებავა 577 28 58 42</w:t>
            </w:r>
          </w:p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B92314" w:rsidRDefault="00B92314"/>
    <w:p w:rsidR="00B92314" w:rsidRPr="00B92314" w:rsidRDefault="00B92314" w:rsidP="00B92314"/>
    <w:p w:rsidR="00B92314" w:rsidRPr="00B92314" w:rsidRDefault="00B92314" w:rsidP="00B92314"/>
    <w:p w:rsidR="00816285" w:rsidRPr="00B92314" w:rsidRDefault="00816285" w:rsidP="00B92314"/>
    <w:sectPr w:rsidR="00816285" w:rsidRPr="00B9231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685" w:rsidRDefault="00141685" w:rsidP="00FD160A">
      <w:pPr>
        <w:spacing w:after="0" w:line="240" w:lineRule="auto"/>
      </w:pPr>
      <w:r>
        <w:separator/>
      </w:r>
    </w:p>
  </w:endnote>
  <w:endnote w:type="continuationSeparator" w:id="0">
    <w:p w:rsidR="00141685" w:rsidRDefault="00141685" w:rsidP="00FD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685" w:rsidRDefault="00141685" w:rsidP="00FD160A">
      <w:pPr>
        <w:spacing w:after="0" w:line="240" w:lineRule="auto"/>
      </w:pPr>
      <w:r>
        <w:separator/>
      </w:r>
    </w:p>
  </w:footnote>
  <w:footnote w:type="continuationSeparator" w:id="0">
    <w:p w:rsidR="00141685" w:rsidRDefault="00141685" w:rsidP="00FD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60A" w:rsidRDefault="00FD160A">
    <w:pPr>
      <w:pStyle w:val="Header"/>
    </w:pPr>
    <w:r w:rsidRPr="00B0134A">
      <w:rPr>
        <w:rFonts w:ascii="Sylfaen" w:hAnsi="Sylfaen"/>
        <w:noProof/>
        <w:sz w:val="32"/>
      </w:rPr>
      <w:drawing>
        <wp:anchor distT="0" distB="0" distL="114300" distR="114300" simplePos="0" relativeHeight="251659264" behindDoc="0" locked="0" layoutInCell="1" allowOverlap="1" wp14:anchorId="4588F3FD" wp14:editId="320515EA">
          <wp:simplePos x="0" y="0"/>
          <wp:positionH relativeFrom="page">
            <wp:posOffset>673100</wp:posOffset>
          </wp:positionH>
          <wp:positionV relativeFrom="paragraph">
            <wp:posOffset>-457200</wp:posOffset>
          </wp:positionV>
          <wp:extent cx="4044950" cy="914270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sdsd_3-660x33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6" t="26507" r="1454" b="31167"/>
                  <a:stretch/>
                </pic:blipFill>
                <pic:spPr bwMode="auto">
                  <a:xfrm>
                    <a:off x="0" y="0"/>
                    <a:ext cx="4044950" cy="914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DA1"/>
    <w:multiLevelType w:val="multilevel"/>
    <w:tmpl w:val="805A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E0623"/>
    <w:multiLevelType w:val="multilevel"/>
    <w:tmpl w:val="5A3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75F8B"/>
    <w:multiLevelType w:val="multilevel"/>
    <w:tmpl w:val="4336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B9B58D0"/>
    <w:multiLevelType w:val="multilevel"/>
    <w:tmpl w:val="B7D6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C1912"/>
    <w:rsid w:val="00141685"/>
    <w:rsid w:val="001F2450"/>
    <w:rsid w:val="00326F93"/>
    <w:rsid w:val="00340CFE"/>
    <w:rsid w:val="00354005"/>
    <w:rsid w:val="003878AA"/>
    <w:rsid w:val="003D2403"/>
    <w:rsid w:val="003E445B"/>
    <w:rsid w:val="00445A1A"/>
    <w:rsid w:val="00521F3E"/>
    <w:rsid w:val="005A35E5"/>
    <w:rsid w:val="005D417E"/>
    <w:rsid w:val="006C6508"/>
    <w:rsid w:val="00704BE4"/>
    <w:rsid w:val="007179EC"/>
    <w:rsid w:val="00763B82"/>
    <w:rsid w:val="00770E62"/>
    <w:rsid w:val="007E189F"/>
    <w:rsid w:val="00816285"/>
    <w:rsid w:val="00955874"/>
    <w:rsid w:val="009C6AEF"/>
    <w:rsid w:val="00B92314"/>
    <w:rsid w:val="00BD2FFF"/>
    <w:rsid w:val="00C32C2D"/>
    <w:rsid w:val="00CA7A72"/>
    <w:rsid w:val="00CD01BF"/>
    <w:rsid w:val="00D324CA"/>
    <w:rsid w:val="00D65A9C"/>
    <w:rsid w:val="00D9026E"/>
    <w:rsid w:val="00DD5352"/>
    <w:rsid w:val="00DD5ABD"/>
    <w:rsid w:val="00DD648F"/>
    <w:rsid w:val="00E07A2D"/>
    <w:rsid w:val="00E12C76"/>
    <w:rsid w:val="00E62DA7"/>
    <w:rsid w:val="00E919BA"/>
    <w:rsid w:val="00EA27C6"/>
    <w:rsid w:val="00EB2490"/>
    <w:rsid w:val="00F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5ABC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semiHidden/>
    <w:unhideWhenUsed/>
    <w:qFormat/>
    <w:rsid w:val="00FD160A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249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60A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16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dq2pgselectionanchorcontainer">
    <w:name w:val="pdq2pg_selectionanchorcontainer"/>
    <w:basedOn w:val="Normal"/>
    <w:uiPriority w:val="99"/>
    <w:semiHidden/>
    <w:rsid w:val="00FD16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60A"/>
  </w:style>
  <w:style w:type="paragraph" w:styleId="Footer">
    <w:name w:val="footer"/>
    <w:basedOn w:val="Normal"/>
    <w:link w:val="FooterChar"/>
    <w:uiPriority w:val="99"/>
    <w:unhideWhenUsed/>
    <w:rsid w:val="00FD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VVDU5HPDTQC2-89-230908</_dlc_DocId>
    <_dlc_DocIdUrl xmlns="a5444ea2-90b0-4ece-a612-f39e0dd9a22f">
      <Url>https://docflow.socar.ge/dms/requests/_layouts/15/DocIdRedir.aspx?ID=VVDU5HPDTQC2-89-230908</Url>
      <Description>VVDU5HPDTQC2-89-230908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67399-0223-44C8-9990-777C59895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1BB60A57-392D-4A2E-95E6-BDACC88B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9</cp:revision>
  <dcterms:created xsi:type="dcterms:W3CDTF">2025-03-05T12:11:00Z</dcterms:created>
  <dcterms:modified xsi:type="dcterms:W3CDTF">2026-06-30T05:55:00Z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b1153c99-e2b0-49f7-9d3d-f9647e762f6a</vt:lpwstr>
  </property>
</Properties>
</file>