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DA689E5" w14:textId="77777777" w:rsidR="009052CC" w:rsidRDefault="00000000">
      <w:pPr>
        <w:jc w:val="center"/>
      </w:pPr>
      <w:r>
        <w:rPr>
          <w:b/>
          <w:sz w:val="28"/>
        </w:rPr>
        <w:t>TERMS OF REFERENCE / ტექნიკური დავალება</w:t>
      </w:r>
    </w:p>
    <w:p w14:paraId="0904F79A" w14:textId="77777777" w:rsidR="009052CC" w:rsidRDefault="00000000">
      <w:pPr>
        <w:jc w:val="center"/>
      </w:pPr>
      <w:r>
        <w:rPr>
          <w:b/>
          <w:sz w:val="22"/>
        </w:rPr>
        <w:t>Development of Recreational Infrastructure in Saghoria Forest in Accordance with Nature-Based Solutions (NbS) Principles</w:t>
      </w:r>
    </w:p>
    <w:p w14:paraId="1E9B8785" w14:textId="77777777" w:rsidR="009052CC" w:rsidRDefault="00000000">
      <w:pPr>
        <w:jc w:val="center"/>
      </w:pPr>
      <w:r>
        <w:rPr>
          <w:b/>
          <w:sz w:val="22"/>
        </w:rPr>
        <w:t>საღორიას ტყის რეკრეაციული ინფრასტრუქტურის მოწყობა ბუნებაზე დაფუძნებული გადაწყვეტილებების (Nature-based Solutions) პრინციპების შესაბამისად</w:t>
      </w:r>
    </w:p>
    <w:p w14:paraId="4FAAB21D" w14:textId="77777777" w:rsidR="009052CC" w:rsidRDefault="00000000">
      <w:pPr>
        <w:pStyle w:val="Heading1"/>
      </w:pPr>
      <w:r>
        <w:t>1. PROJECT BACKGROUND / პროექტის შესახებ</w:t>
      </w:r>
    </w:p>
    <w:p w14:paraId="627FD03C" w14:textId="77777777" w:rsidR="009052CC" w:rsidRDefault="00000000">
      <w:r>
        <w:t>This procurement is conducted within the GEF-funded project “Low Carbon Solutions through Nature-Based Urban Development for Kutaisi City”, implemented by the Regional Environment Centre for the Caucasus (REC Caucasus). The project beneficiaries are Kutaisi Municipality and LEPL National Forest Agency, operating under the supervision of the Ministry of Environmental Protection and Agriculture of Georgia.</w:t>
      </w:r>
    </w:p>
    <w:p w14:paraId="5C64757F" w14:textId="77777777" w:rsidR="009052CC" w:rsidRDefault="00000000">
      <w:r>
        <w:t>The project supports low-carbon and climate-resilient urban development through integrated planning, green infrastructure, and nature-based solutions (NbS). It consists of three components: (i) strengthening planning and institutional frameworks for sustainable urban development; (ii) facilitating investments in green and low-emission urban development; and (iii) capacity development, knowledge management, and monitoring and evaluation.</w:t>
      </w:r>
    </w:p>
    <w:p w14:paraId="14FC71F7" w14:textId="77777777" w:rsidR="009052CC" w:rsidRDefault="00000000">
      <w:r>
        <w:t>This assignment is implemented under Activity 2.4.2 of Component II, focusing on the development of an operational demonstration project for sustainable land management in urban forest areas. The intervention area was identified through consultations with local stakeholders and LEPL National Forest Agency.</w:t>
      </w:r>
    </w:p>
    <w:p w14:paraId="33ACC8A1" w14:textId="77777777" w:rsidR="009052CC" w:rsidRDefault="00000000">
      <w:r>
        <w:t>Urban forests are essential components of urban green infrastructure. When planned appropriately, they deliver multiple ecosystem services, including climate regulation, biodiversity conservation, water management, recreation, education, and human well-being. This assignment aims to demonstrate how carefully designed, low-impact interventions can enhance these functions while preserving the ecological integrity of the forest.</w:t>
      </w:r>
    </w:p>
    <w:p w14:paraId="06998F4D" w14:textId="77777777" w:rsidR="009052CC" w:rsidRDefault="00000000">
      <w:r>
        <w:t>წინამდებარე შესყიდვა ხორციელდება გლობალური გარემოსდაცვითი ფონდის (GEF) მიერ დაფინანსებული პროექტის — „ქუთაისის დაბალემისიიანი განვითარება ურბანული დაგეგმარების გზით“ (Low Carbon Solutions through Nature-Based Urban Development for Kutaisi City) — ფარგლებში, რომელსაც ახორციელებს კავკასიის რეგიონული გარემოსდაცვითი ცენტრი (REC Caucasus). პროექტის ბენეფიციარები არიან ქუთაისის მუნიციპალიტეტი და საქართველოს გარემოს დაცვისა და სოფლის მეურნეობის სამინისტროს სისტემაში შემავალი სსიპ ეროვნული სატყეო სააგენტო.</w:t>
      </w:r>
    </w:p>
    <w:p w14:paraId="4C1B2309" w14:textId="77777777" w:rsidR="009052CC" w:rsidRDefault="00000000">
      <w:r>
        <w:t>პროექტი ხელს უწყობს დაბალემისიიან და კლიმატის ცვლილების მიმართ მდგრად ურბანულ განვითარებას ინტეგრირებული დაგეგმვის, მწვანე ინფრასტრუქტურისა და ბუნებაზე დაფუძნებული გადაწყვეტილებების (NbS) გამოყენების გზით. პროექტი შედგება სამი კომპონენტისგან: (i) მდგრადი ურბანული განვითარების დაგეგმვისა და ინსტიტუციური ჩარჩოების გაძლიერება; (ii) მწვანე და დაბალემისიიან ურბანულ განვითარებაში ინვესტიციების ხელშეწყობა; და (iii) შესაძლებლობების განვითარება, ცოდნის მართვა, მონიტორინგი და შეფასება.</w:t>
      </w:r>
    </w:p>
    <w:p w14:paraId="481BF499" w14:textId="77777777" w:rsidR="009052CC" w:rsidRDefault="00000000">
      <w:r>
        <w:t>წინამდებარე დავალება ხორციელდება პროექტის II კომპონენტის, აქტივობა 2.4.2-ის ფარგლებში და ითვალისწინებს ურბანული ტყის ტერიტორიაზე მიწის მდგრადი მართვის ოპერაციული სადემონსტრაციო პროექტის განხორციელებას. საპროექტო ტერიტორია შეირჩა ადგილობრივ დაინტერესებულ მხარეებთან და სსიპ ეროვნულ სატყეო სააგენტოსთან კონსულტაციების საფუძველზე.</w:t>
      </w:r>
    </w:p>
    <w:p w14:paraId="738373BC" w14:textId="77777777" w:rsidR="009052CC" w:rsidRDefault="00000000">
      <w:r>
        <w:t>ურბანული ტყეები ქალაქის მწვანე ინფრასტრუქტურის მნიშვნელოვანი ნაწილია. სათანადო დაგეგმვისა და მართვის პირობებში ისინი უზრუნველყოფენ მრავალ ეკოსისტემურ სერვისს, მათ შორის კლიმატის რეგულირებას, ბიომრავალფეროვნების დაცვას, წყლის რესურსების მართვას, რეკრეაციას, გარემოსდაცვით განათლებასა და ადამიანის კეთილდღეობის ხელშეწყობას. დავალების მიზანია პრაქტიკაში წარმოაჩინოს, თუ როგორ შეიძლება სათანადოდ დაგეგმილმა, ბუნებრივ გარემოზე მინიმალური ზემოქმედების მქონე ჩარევებმა გააძლიეროს აღნიშნული ფუნქციები და ამავდროულად უზრუნველყოს ტყის ეკოლოგიური მთლიანობის შენარჩუნება.</w:t>
      </w:r>
    </w:p>
    <w:p w14:paraId="14FBF18E" w14:textId="77777777" w:rsidR="009052CC" w:rsidRDefault="00000000">
      <w:pPr>
        <w:pStyle w:val="Heading1"/>
      </w:pPr>
      <w:r>
        <w:lastRenderedPageBreak/>
        <w:t>2. OBJECTIVE / პროექტის ზოგადი აღწერა და მიზანი</w:t>
      </w:r>
    </w:p>
    <w:p w14:paraId="206E8A9D" w14:textId="77777777" w:rsidR="009052CC" w:rsidRDefault="00000000">
      <w:r>
        <w:t>The intervention aims to strengthen the relationship between people and nature and create a recreational space in Saghoria Forest that supports environmental awareness and ecosystem protection. The vision is for children to experience the forest as a place of freedom, learning and discovery, and for adults as a place for rest, recreation and new experiences.</w:t>
      </w:r>
    </w:p>
    <w:p w14:paraId="4BC85B16" w14:textId="77777777" w:rsidR="009052CC" w:rsidRDefault="00000000">
      <w:r>
        <w:t>Saghoria Forest, located near Kutaisi, is an ecologically important area. Its oak forest historically formed part of the city's natural green belt. Uncontrolled visitor movement may damage natural forest regeneration, particularly oak shoots. The intervention therefore aims to concentrate visitor movement and recreation within a defined area while minimising impacts on the wider forest environment.</w:t>
      </w:r>
    </w:p>
    <w:p w14:paraId="605B41B8" w14:textId="77777777" w:rsidR="009052CC" w:rsidRDefault="00000000">
      <w:r>
        <w:t>პროექტის მიზანია ადამიანისა და ბუნების ურთიერთკავშირის გაძლიერება და საღორიას ტყის ისეთი რეკრეაციული სივრცის შექმნა, რომელიც ხელს შეუწყობს მოსახლეობის ბუნებასთან დაახლოებას, გარემოსდაცვითი ცნობიერების ამაღლებასა და ტყის ეკოსისტემის დაცვას. ბავშვებისთვის ტყე უნდა იქცეს თავისუფლების, შემეცნებისა და აღმოჩენების ადგილად, ხოლო უფროსებისთვის — დასვენების, განტვირთვისა და ბუნებასთან ურთიერთობის სივრცედ.</w:t>
      </w:r>
    </w:p>
    <w:p w14:paraId="27F50ACF" w14:textId="77777777" w:rsidR="009052CC" w:rsidRDefault="00000000">
      <w:r>
        <w:t>ქუთაისის მახლობლად მდებარე საღორიას ტყე მნიშვნელოვანი ბუნებრივი და ეკოლოგიური ტერიტორიაა. მუხის ტყე ისტორიულად წარმოადგენდა ქალაქის ბუნებრივი სარტყლის ნაწილს. ვიზიტორთა უსისტემო გადაადგილებამ შესაძლოა დააზიანოს ტყის ბუნებრივი განახლება, განსაკუთრებით მუხის ამონაყარი. შესაბამისად, პროექტი მიზნად ისახავს ვიზიტორთა გადაადგილებისა და დასვენებისთვის განსაზღვრული სივრცის შექმნას ისე, რომ მინიმუმამდე შემცირდეს ზემოქმედება ტყის ბუნებრივ გარემოზე.</w:t>
      </w:r>
    </w:p>
    <w:p w14:paraId="7EAC6E4D" w14:textId="77777777" w:rsidR="009052CC" w:rsidRDefault="00000000">
      <w:pPr>
        <w:pStyle w:val="Heading1"/>
      </w:pPr>
      <w:r>
        <w:t>3. NATURE-BASED APPROACH / პროექტის მიდგომა</w:t>
      </w:r>
    </w:p>
    <w:p w14:paraId="38108EA3" w14:textId="77777777" w:rsidR="009052CC" w:rsidRDefault="00000000">
      <w:r>
        <w:t>All infrastructure shall be planned and implemented in accordance with Nature-based Solutions (NbS) principles. Solutions shall integrate with the existing landscape, protect local ecosystems and vegetation, minimise soil and vegetation disturbance, support natural regeneration, prioritise natural/local/environmentally compatible materials, and ensure functionality, safety and durability.</w:t>
      </w:r>
    </w:p>
    <w:p w14:paraId="6E3CD70F" w14:textId="77777777" w:rsidR="009052CC" w:rsidRDefault="00000000">
      <w:r>
        <w:t>ყველა ინფრასტრუქტურული ელემენტი უნდა დაიგეგმოს და განხორციელდეს Nature-based Solutions (NbS) პრინციპების შესაბამისად. გადაწყვეტები უნდა ერწყმოდეს არსებულ ლანდშაფტს, იცავდეს ადგილობრივ ეკოსისტემასა და მცენარეულობას, მინიმუმამდე ამცირებდეს ნიადაგისა და მცენარეულობის დაზიანებას, ხელს უწყობდეს ბუნებრივ რეგენერაციას, უპირატესობას ანიჭებდეს ბუნებრივ/ადგილობრივ/გარემოსთან თავსებად მასალებს და უზრუნველყოფდეს ფუნქციურობას, უსაფრთხოებასა და გამძლეობას.</w:t>
      </w:r>
    </w:p>
    <w:p w14:paraId="2F133E1B" w14:textId="77777777" w:rsidR="009052CC" w:rsidRDefault="00000000">
      <w:pPr>
        <w:pStyle w:val="Heading1"/>
      </w:pPr>
      <w:r>
        <w:t>4. INTERVENTION AREA / სამუშაოების ტერიტორია</w:t>
      </w:r>
    </w:p>
    <w:p w14:paraId="10425B9E" w14:textId="77777777" w:rsidR="009052CC" w:rsidRDefault="00000000">
      <w:r>
        <w:t>The project covers an approximately 1-hectare recreational zone adjacent to the road in Saghoria Forest. Concentrating recreational infrastructure in this designated area is intended to reduce uncontrolled movement in other parts of the oak forest and protect natural regeneration.</w:t>
      </w:r>
    </w:p>
    <w:p w14:paraId="5CC16CA7" w14:textId="77777777" w:rsidR="009052CC" w:rsidRDefault="00000000">
      <w:r>
        <w:t>პროექტის ფარგლებში გზის მიმდებარედ გამოყოფილია დაახლოებით 1 ჰექტარი რეკრეაციული ზონა. განსაზღვრულ ტერიტორიაზე რეკრეაციული ინფრასტრუქტურის კონცენტრირება მიზნად ისახავს ტყის სხვა ნაწილებში ვიზიტორთა უსისტემო გადაადგილების შემცირებას და მუხის ტყის ბუნებრივი განახლების დაცვას.</w:t>
      </w:r>
    </w:p>
    <w:p w14:paraId="03721B9D" w14:textId="77777777" w:rsidR="009052CC" w:rsidRDefault="00000000">
      <w:pPr>
        <w:pStyle w:val="Heading1"/>
      </w:pPr>
      <w:r>
        <w:t>5. SCOPE OF WORKS / სამუშაოების მოცულობა</w:t>
      </w:r>
    </w:p>
    <w:p w14:paraId="4B99FA73" w14:textId="200D54C4" w:rsidR="009052CC" w:rsidRDefault="00000000">
      <w:pPr>
        <w:pStyle w:val="Heading2"/>
      </w:pPr>
      <w:r>
        <w:t xml:space="preserve">5.1 Parking area </w:t>
      </w:r>
      <w:r w:rsidR="003B0E6C">
        <w:t xml:space="preserve">with </w:t>
      </w:r>
      <w:r w:rsidR="003B0E6C">
        <w:t xml:space="preserve">Vegetative separator </w:t>
      </w:r>
      <w:r>
        <w:t xml:space="preserve">/ </w:t>
      </w:r>
      <w:proofErr w:type="spellStart"/>
      <w:r>
        <w:t>ავტოსადგომის</w:t>
      </w:r>
      <w:proofErr w:type="spellEnd"/>
      <w:r>
        <w:t xml:space="preserve"> </w:t>
      </w:r>
      <w:proofErr w:type="spellStart"/>
      <w:r>
        <w:t>მოწყობა</w:t>
      </w:r>
      <w:proofErr w:type="spellEnd"/>
      <w:r w:rsidR="003B0E6C">
        <w:t xml:space="preserve"> </w:t>
      </w:r>
      <w:proofErr w:type="spellStart"/>
      <w:r w:rsidR="003B0E6C">
        <w:rPr>
          <w:rFonts w:ascii="Sylfaen" w:hAnsi="Sylfaen" w:cs="Sylfaen"/>
        </w:rPr>
        <w:t>მცენარეული</w:t>
      </w:r>
      <w:proofErr w:type="spellEnd"/>
      <w:r w:rsidR="003B0E6C">
        <w:t xml:space="preserve"> </w:t>
      </w:r>
      <w:proofErr w:type="spellStart"/>
      <w:r w:rsidR="003B0E6C">
        <w:rPr>
          <w:rFonts w:ascii="Sylfaen" w:hAnsi="Sylfaen" w:cs="Sylfaen"/>
        </w:rPr>
        <w:t>გამყოფი</w:t>
      </w:r>
      <w:proofErr w:type="spellEnd"/>
      <w:r w:rsidR="003B0E6C">
        <w:t xml:space="preserve"> </w:t>
      </w:r>
      <w:proofErr w:type="spellStart"/>
      <w:r w:rsidR="003B0E6C">
        <w:rPr>
          <w:rFonts w:ascii="Sylfaen" w:hAnsi="Sylfaen" w:cs="Sylfaen"/>
        </w:rPr>
        <w:t>ზოლი</w:t>
      </w:r>
      <w:proofErr w:type="spellEnd"/>
    </w:p>
    <w:p w14:paraId="62BA21D7" w14:textId="3C3D618E" w:rsidR="003B0E6C" w:rsidRDefault="00000000" w:rsidP="003B0E6C">
      <w:r>
        <w:t>Arrange a parking area on the eastern side of the highway, within the tree-free zone, for 15 passenger vehicles and 2 buses. Minimise alteration of the natural environment and unnecessary artificial surfacing.</w:t>
      </w:r>
      <w:r w:rsidR="003B0E6C" w:rsidRPr="003B0E6C">
        <w:t xml:space="preserve"> </w:t>
      </w:r>
      <w:r w:rsidR="003B0E6C">
        <w:t xml:space="preserve">Create 72 linear </w:t>
      </w:r>
      <w:proofErr w:type="spellStart"/>
      <w:r w:rsidR="003B0E6C">
        <w:t>metres</w:t>
      </w:r>
      <w:proofErr w:type="spellEnd"/>
      <w:r w:rsidR="003B0E6C">
        <w:t xml:space="preserve"> of parking separation strips using bushes, with </w:t>
      </w:r>
      <w:proofErr w:type="spellStart"/>
      <w:r w:rsidR="003B0E6C">
        <w:t>not</w:t>
      </w:r>
      <w:proofErr w:type="spellEnd"/>
      <w:r w:rsidR="003B0E6C">
        <w:t xml:space="preserve"> fewer than 5 seedlings per linear metre, ensuring suitable conditions for survival and growth.</w:t>
      </w:r>
    </w:p>
    <w:p w14:paraId="6D29F241" w14:textId="19B1274D" w:rsidR="009052CC" w:rsidRDefault="009052CC"/>
    <w:p w14:paraId="077DFB47" w14:textId="13784DF2" w:rsidR="003B0E6C" w:rsidRDefault="00000000" w:rsidP="003B0E6C">
      <w:r>
        <w:lastRenderedPageBreak/>
        <w:t xml:space="preserve">ავტომაგისტრალის აღმოსავლეთ მხარეს, ხეებისგან თავისუფალ ზონაში მოეწყოს ავტოსადგომი 15 მსუბუქ ავტომობილსა და 2 ავტობუსზე. მაქსიმალურად უნდა იქნეს თავიდან აცილებული ბუნებრივი გარემოს ცვლილება </w:t>
      </w:r>
      <w:proofErr w:type="spellStart"/>
      <w:r>
        <w:t>და</w:t>
      </w:r>
      <w:proofErr w:type="spellEnd"/>
      <w:r>
        <w:t xml:space="preserve"> </w:t>
      </w:r>
      <w:proofErr w:type="spellStart"/>
      <w:r>
        <w:t>ზედმეტი</w:t>
      </w:r>
      <w:proofErr w:type="spellEnd"/>
      <w:r>
        <w:t xml:space="preserve"> </w:t>
      </w:r>
      <w:proofErr w:type="spellStart"/>
      <w:r>
        <w:t>ხელოვნური</w:t>
      </w:r>
      <w:proofErr w:type="spellEnd"/>
      <w:r>
        <w:t xml:space="preserve"> </w:t>
      </w:r>
      <w:proofErr w:type="spellStart"/>
      <w:r>
        <w:t>დაფარვა</w:t>
      </w:r>
      <w:proofErr w:type="spellEnd"/>
      <w:r>
        <w:t>.</w:t>
      </w:r>
      <w:r w:rsidR="003B0E6C">
        <w:t xml:space="preserve"> </w:t>
      </w:r>
      <w:r w:rsidR="003B0E6C">
        <w:rPr>
          <w:rFonts w:ascii="Sylfaen" w:hAnsi="Sylfaen"/>
          <w:lang w:val="ka-GE"/>
        </w:rPr>
        <w:t xml:space="preserve">პარკინგის </w:t>
      </w:r>
      <w:proofErr w:type="spellStart"/>
      <w:r w:rsidR="003B0E6C">
        <w:rPr>
          <w:rFonts w:ascii="Sylfaen" w:hAnsi="Sylfaen" w:cs="Sylfaen"/>
        </w:rPr>
        <w:t>გამყოფ</w:t>
      </w:r>
      <w:proofErr w:type="spellEnd"/>
      <w:r w:rsidR="003B0E6C">
        <w:rPr>
          <w:rFonts w:ascii="Sylfaen" w:hAnsi="Sylfaen" w:cs="Sylfaen"/>
        </w:rPr>
        <w:t xml:space="preserve"> </w:t>
      </w:r>
      <w:r w:rsidR="003B0E6C">
        <w:rPr>
          <w:rFonts w:ascii="Sylfaen" w:hAnsi="Sylfaen" w:cs="Sylfaen"/>
          <w:lang w:val="ka-GE"/>
        </w:rPr>
        <w:t>ზოლებზე</w:t>
      </w:r>
      <w:r w:rsidR="003B0E6C">
        <w:t xml:space="preserve"> </w:t>
      </w:r>
      <w:proofErr w:type="spellStart"/>
      <w:r w:rsidR="003B0E6C">
        <w:rPr>
          <w:rFonts w:ascii="Sylfaen" w:hAnsi="Sylfaen" w:cs="Sylfaen"/>
        </w:rPr>
        <w:t>მოეწყოს</w:t>
      </w:r>
      <w:proofErr w:type="spellEnd"/>
      <w:r w:rsidR="003B0E6C">
        <w:t xml:space="preserve"> </w:t>
      </w:r>
      <w:proofErr w:type="spellStart"/>
      <w:r w:rsidR="003B0E6C">
        <w:rPr>
          <w:rFonts w:ascii="Sylfaen" w:hAnsi="Sylfaen"/>
        </w:rPr>
        <w:t>სულ</w:t>
      </w:r>
      <w:proofErr w:type="spellEnd"/>
      <w:r w:rsidR="003B0E6C">
        <w:rPr>
          <w:rFonts w:ascii="Sylfaen" w:hAnsi="Sylfaen"/>
        </w:rPr>
        <w:t xml:space="preserve"> </w:t>
      </w:r>
      <w:r w:rsidR="003B0E6C">
        <w:t xml:space="preserve">72 </w:t>
      </w:r>
      <w:proofErr w:type="spellStart"/>
      <w:r w:rsidR="003B0E6C">
        <w:rPr>
          <w:rFonts w:ascii="Sylfaen" w:hAnsi="Sylfaen" w:cs="Sylfaen"/>
        </w:rPr>
        <w:t>გრძივი</w:t>
      </w:r>
      <w:proofErr w:type="spellEnd"/>
      <w:r w:rsidR="003B0E6C">
        <w:t xml:space="preserve"> </w:t>
      </w:r>
      <w:proofErr w:type="spellStart"/>
      <w:r w:rsidR="003B0E6C">
        <w:rPr>
          <w:rFonts w:ascii="Sylfaen" w:hAnsi="Sylfaen" w:cs="Sylfaen"/>
        </w:rPr>
        <w:t>მეტრი</w:t>
      </w:r>
      <w:proofErr w:type="spellEnd"/>
      <w:r w:rsidR="003B0E6C">
        <w:t xml:space="preserve"> </w:t>
      </w:r>
      <w:proofErr w:type="spellStart"/>
      <w:r w:rsidR="003B0E6C">
        <w:rPr>
          <w:rFonts w:ascii="Sylfaen" w:hAnsi="Sylfaen" w:cs="Sylfaen"/>
        </w:rPr>
        <w:t>ზოლ</w:t>
      </w:r>
      <w:r w:rsidR="003B0E6C">
        <w:rPr>
          <w:rFonts w:ascii="Sylfaen" w:hAnsi="Sylfaen"/>
        </w:rPr>
        <w:t>ები</w:t>
      </w:r>
      <w:proofErr w:type="spellEnd"/>
      <w:r w:rsidR="003B0E6C">
        <w:t xml:space="preserve"> </w:t>
      </w:r>
      <w:proofErr w:type="spellStart"/>
      <w:r w:rsidR="003B0E6C">
        <w:rPr>
          <w:rFonts w:ascii="Sylfaen" w:hAnsi="Sylfaen" w:cs="Sylfaen"/>
        </w:rPr>
        <w:t>ბუჩქების</w:t>
      </w:r>
      <w:proofErr w:type="spellEnd"/>
      <w:r w:rsidR="003B0E6C">
        <w:t xml:space="preserve"> </w:t>
      </w:r>
      <w:proofErr w:type="spellStart"/>
      <w:r w:rsidR="003B0E6C">
        <w:rPr>
          <w:rFonts w:ascii="Sylfaen" w:hAnsi="Sylfaen" w:cs="Sylfaen"/>
        </w:rPr>
        <w:t>საშუალებით</w:t>
      </w:r>
      <w:proofErr w:type="spellEnd"/>
      <w:r w:rsidR="003B0E6C">
        <w:t xml:space="preserve">, </w:t>
      </w:r>
      <w:proofErr w:type="spellStart"/>
      <w:r w:rsidR="003B0E6C">
        <w:rPr>
          <w:rFonts w:ascii="Sylfaen" w:hAnsi="Sylfaen" w:cs="Sylfaen"/>
        </w:rPr>
        <w:t>ყოველ</w:t>
      </w:r>
      <w:proofErr w:type="spellEnd"/>
      <w:r w:rsidR="003B0E6C">
        <w:t xml:space="preserve"> </w:t>
      </w:r>
      <w:proofErr w:type="spellStart"/>
      <w:r w:rsidR="003B0E6C">
        <w:rPr>
          <w:rFonts w:ascii="Sylfaen" w:hAnsi="Sylfaen" w:cs="Sylfaen"/>
        </w:rPr>
        <w:t>ერთ</w:t>
      </w:r>
      <w:proofErr w:type="spellEnd"/>
      <w:r w:rsidR="003B0E6C">
        <w:t xml:space="preserve"> </w:t>
      </w:r>
      <w:proofErr w:type="spellStart"/>
      <w:r w:rsidR="003B0E6C">
        <w:rPr>
          <w:rFonts w:ascii="Sylfaen" w:hAnsi="Sylfaen" w:cs="Sylfaen"/>
        </w:rPr>
        <w:t>გრძივ</w:t>
      </w:r>
      <w:proofErr w:type="spellEnd"/>
      <w:r w:rsidR="003B0E6C">
        <w:t xml:space="preserve"> </w:t>
      </w:r>
      <w:proofErr w:type="spellStart"/>
      <w:r w:rsidR="003B0E6C">
        <w:rPr>
          <w:rFonts w:ascii="Sylfaen" w:hAnsi="Sylfaen" w:cs="Sylfaen"/>
        </w:rPr>
        <w:t>მეტრზე</w:t>
      </w:r>
      <w:proofErr w:type="spellEnd"/>
      <w:r w:rsidR="003B0E6C">
        <w:t xml:space="preserve"> </w:t>
      </w:r>
      <w:proofErr w:type="spellStart"/>
      <w:r w:rsidR="003B0E6C">
        <w:rPr>
          <w:rFonts w:ascii="Sylfaen" w:hAnsi="Sylfaen" w:cs="Sylfaen"/>
        </w:rPr>
        <w:t>არანაკლებ</w:t>
      </w:r>
      <w:proofErr w:type="spellEnd"/>
      <w:r w:rsidR="003B0E6C">
        <w:t xml:space="preserve"> 5 </w:t>
      </w:r>
      <w:proofErr w:type="spellStart"/>
      <w:r w:rsidR="003B0E6C">
        <w:rPr>
          <w:rFonts w:ascii="Sylfaen" w:hAnsi="Sylfaen" w:cs="Sylfaen"/>
        </w:rPr>
        <w:t>ნერგის</w:t>
      </w:r>
      <w:proofErr w:type="spellEnd"/>
      <w:r w:rsidR="003B0E6C">
        <w:t xml:space="preserve"> </w:t>
      </w:r>
      <w:proofErr w:type="spellStart"/>
      <w:r w:rsidR="003B0E6C">
        <w:rPr>
          <w:rFonts w:ascii="Sylfaen" w:hAnsi="Sylfaen" w:cs="Sylfaen"/>
        </w:rPr>
        <w:t>დარგვით</w:t>
      </w:r>
      <w:proofErr w:type="spellEnd"/>
      <w:r w:rsidR="003B0E6C">
        <w:t xml:space="preserve"> </w:t>
      </w:r>
      <w:proofErr w:type="spellStart"/>
      <w:r w:rsidR="003B0E6C">
        <w:rPr>
          <w:rFonts w:ascii="Sylfaen" w:hAnsi="Sylfaen" w:cs="Sylfaen"/>
        </w:rPr>
        <w:t>და</w:t>
      </w:r>
      <w:proofErr w:type="spellEnd"/>
      <w:r w:rsidR="003B0E6C">
        <w:t xml:space="preserve"> </w:t>
      </w:r>
      <w:proofErr w:type="spellStart"/>
      <w:r w:rsidR="003B0E6C">
        <w:rPr>
          <w:rFonts w:ascii="Sylfaen" w:hAnsi="Sylfaen" w:cs="Sylfaen"/>
        </w:rPr>
        <w:t>მათი</w:t>
      </w:r>
      <w:proofErr w:type="spellEnd"/>
      <w:r w:rsidR="003B0E6C">
        <w:t xml:space="preserve"> </w:t>
      </w:r>
      <w:proofErr w:type="spellStart"/>
      <w:r w:rsidR="003B0E6C">
        <w:rPr>
          <w:rFonts w:ascii="Sylfaen" w:hAnsi="Sylfaen" w:cs="Sylfaen"/>
        </w:rPr>
        <w:t>გახარებისა</w:t>
      </w:r>
      <w:proofErr w:type="spellEnd"/>
      <w:r w:rsidR="003B0E6C">
        <w:t xml:space="preserve"> </w:t>
      </w:r>
      <w:proofErr w:type="spellStart"/>
      <w:r w:rsidR="003B0E6C">
        <w:rPr>
          <w:rFonts w:ascii="Sylfaen" w:hAnsi="Sylfaen" w:cs="Sylfaen"/>
        </w:rPr>
        <w:t>და</w:t>
      </w:r>
      <w:proofErr w:type="spellEnd"/>
      <w:r w:rsidR="003B0E6C">
        <w:t xml:space="preserve"> </w:t>
      </w:r>
      <w:proofErr w:type="spellStart"/>
      <w:r w:rsidR="003B0E6C">
        <w:rPr>
          <w:rFonts w:ascii="Sylfaen" w:hAnsi="Sylfaen" w:cs="Sylfaen"/>
        </w:rPr>
        <w:t>ზრდისთვის</w:t>
      </w:r>
      <w:proofErr w:type="spellEnd"/>
      <w:r w:rsidR="003B0E6C">
        <w:t xml:space="preserve"> </w:t>
      </w:r>
      <w:proofErr w:type="spellStart"/>
      <w:r w:rsidR="003B0E6C">
        <w:rPr>
          <w:rFonts w:ascii="Sylfaen" w:hAnsi="Sylfaen" w:cs="Sylfaen"/>
        </w:rPr>
        <w:t>შესაბამისი</w:t>
      </w:r>
      <w:proofErr w:type="spellEnd"/>
      <w:r w:rsidR="003B0E6C">
        <w:t xml:space="preserve"> </w:t>
      </w:r>
      <w:proofErr w:type="spellStart"/>
      <w:r w:rsidR="003B0E6C">
        <w:rPr>
          <w:rFonts w:ascii="Sylfaen" w:hAnsi="Sylfaen" w:cs="Sylfaen"/>
        </w:rPr>
        <w:t>პირობების</w:t>
      </w:r>
      <w:proofErr w:type="spellEnd"/>
      <w:r w:rsidR="003B0E6C">
        <w:t xml:space="preserve"> </w:t>
      </w:r>
      <w:proofErr w:type="spellStart"/>
      <w:r w:rsidR="003B0E6C">
        <w:rPr>
          <w:rFonts w:ascii="Sylfaen" w:hAnsi="Sylfaen" w:cs="Sylfaen"/>
        </w:rPr>
        <w:t>უზრუნველყოფით</w:t>
      </w:r>
      <w:proofErr w:type="spellEnd"/>
      <w:r w:rsidR="003B0E6C">
        <w:t>.</w:t>
      </w:r>
    </w:p>
    <w:p w14:paraId="55A2F0E2" w14:textId="51CB10BC" w:rsidR="009052CC" w:rsidRDefault="00000000">
      <w:pPr>
        <w:pStyle w:val="Heading2"/>
      </w:pPr>
      <w:r>
        <w:t>5.</w:t>
      </w:r>
      <w:r w:rsidR="003B0E6C">
        <w:t>2</w:t>
      </w:r>
      <w:r>
        <w:t xml:space="preserve"> Access steps / რეკრეაციულ ზონასთან მისასვლელი ინფრასტრუქტურა</w:t>
      </w:r>
    </w:p>
    <w:p w14:paraId="66FFECCF" w14:textId="77777777" w:rsidR="009052CC" w:rsidRDefault="00000000">
      <w:r>
        <w:t>Construct safe access steps from the sidewalk to the picnic/recreational zone. Materials and design shall be compatible with the forest environment and NbS principles.</w:t>
      </w:r>
    </w:p>
    <w:p w14:paraId="032CB1D2" w14:textId="77777777" w:rsidR="009052CC" w:rsidRDefault="00000000">
      <w:r>
        <w:t>ტროტუარიდან საპიკნიკე/რეკრეაციულ ზონაში მოეწყოს უსაფრთხო ჩასასვლელი საფეხურები. მასალა და ვიზუალური გადაწყვეტა უნდა შეესაბამებოდეს ბუნებრივ გარემოსა და NbS პრინციპებს.</w:t>
      </w:r>
    </w:p>
    <w:p w14:paraId="64AE78FD" w14:textId="255BB486" w:rsidR="009052CC" w:rsidRDefault="00000000">
      <w:pPr>
        <w:pStyle w:val="Heading2"/>
      </w:pPr>
      <w:r>
        <w:t>5.</w:t>
      </w:r>
      <w:r w:rsidR="003B0E6C">
        <w:t>3</w:t>
      </w:r>
      <w:r>
        <w:t xml:space="preserve"> Information infrastructure / საინფორმაციო ინფრასტრუქტურა</w:t>
      </w:r>
    </w:p>
    <w:p w14:paraId="1464687E" w14:textId="77777777" w:rsidR="009052CC" w:rsidRDefault="00000000">
      <w:r>
        <w:t>Design and install an information wall/board covering Saghoria Forest history, ecological importance of the oak forest, ecosystem and natural cycle, visitor rules, protection of oak regeneration and visitor responsibility. The design and materials shall integrate with the natural environment.</w:t>
      </w:r>
    </w:p>
    <w:p w14:paraId="6B096770" w14:textId="77777777" w:rsidR="009052CC" w:rsidRDefault="00000000">
      <w:r>
        <w:t>განთავსდეს საინფორმაციო კედელი/დაფა საღორიას ტყის ისტორიის, მუხის ტყის ეკოლოგიური მნიშვნელობის, ტყის ეკოსისტემისა და ბუნებრივი ციკლის, ქცევის წესების, მუხის ამონაყარის დაცვისა და ვიზიტორთა პასუხისმგებლობის შესახებ. დიზაინი და მასალები უნდა ერწყმოდეს ბუნებრივ გარემოს.</w:t>
      </w:r>
    </w:p>
    <w:p w14:paraId="62D22055" w14:textId="2B756AD7" w:rsidR="009052CC" w:rsidRDefault="00000000">
      <w:pPr>
        <w:pStyle w:val="Heading2"/>
      </w:pPr>
      <w:r>
        <w:t>5.</w:t>
      </w:r>
      <w:r w:rsidR="003B0E6C">
        <w:t>4</w:t>
      </w:r>
      <w:r>
        <w:t xml:space="preserve"> Picnic and resting area / საპიკნიკე და დასასვენებელი სივრცე</w:t>
      </w:r>
    </w:p>
    <w:p w14:paraId="322F4541" w14:textId="77777777" w:rsidR="009052CC" w:rsidRDefault="00000000">
      <w:r>
        <w:t>Arrange tables and appropriate resting infrastructure protected from precipitation and organically integrated into the natural environment.</w:t>
      </w:r>
    </w:p>
    <w:p w14:paraId="5A80A96D" w14:textId="77777777" w:rsidR="009052CC" w:rsidRDefault="00000000">
      <w:r>
        <w:t>განთავსდეს მაგიდები და შესაბამისი დასასვენებელი ინფრასტრუქტურა, რომელიც დაცული იქნება ნალექისგან და ორგანულად იქნება ინტეგრირებული ბუნებრივ გარემოში.</w:t>
      </w:r>
    </w:p>
    <w:p w14:paraId="14F09A22" w14:textId="0B5B2CB3" w:rsidR="009052CC" w:rsidRDefault="00000000">
      <w:pPr>
        <w:pStyle w:val="Heading2"/>
      </w:pPr>
      <w:r>
        <w:t>5.</w:t>
      </w:r>
      <w:r w:rsidR="003B0E6C">
        <w:t>5</w:t>
      </w:r>
      <w:r>
        <w:t xml:space="preserve"> Designated </w:t>
      </w:r>
      <w:proofErr w:type="gramStart"/>
      <w:r>
        <w:t>fire place</w:t>
      </w:r>
      <w:proofErr w:type="gramEnd"/>
      <w:r>
        <w:t xml:space="preserve"> / ცეცხლის დასანთები ადგილი</w:t>
      </w:r>
    </w:p>
    <w:p w14:paraId="6D55D487" w14:textId="77777777" w:rsidR="009052CC" w:rsidRDefault="00000000">
      <w:r>
        <w:t>Arrange a specifically designated safe fire place, prioritising forest-fire prevention and visitor safety.</w:t>
      </w:r>
    </w:p>
    <w:p w14:paraId="10C73881" w14:textId="77777777" w:rsidR="009052CC" w:rsidRDefault="00000000">
      <w:r>
        <w:t>მოეწყოს სპეციალურად განსაზღვრული და უსაფრთხო ადგილი ცეცხლის დასანთებად, ტყის ხანძრის რისკების პრევენციისა და ვიზიტორთა უსაფრთხოების პრიორიტეტით.</w:t>
      </w:r>
    </w:p>
    <w:p w14:paraId="45CF7146" w14:textId="6426A3E5" w:rsidR="009052CC" w:rsidRDefault="00000000">
      <w:pPr>
        <w:pStyle w:val="Heading2"/>
      </w:pPr>
      <w:r>
        <w:t>5.</w:t>
      </w:r>
      <w:r w:rsidR="003B0E6C">
        <w:t>6</w:t>
      </w:r>
      <w:r>
        <w:t xml:space="preserve"> Selective clearing and trails / ტერიტორიის გასუფთავება და ბილიკების მოწესრიგება</w:t>
      </w:r>
    </w:p>
    <w:p w14:paraId="42395E0D" w14:textId="77777777" w:rsidR="009052CC" w:rsidRDefault="00000000">
      <w:r>
        <w:t>Selectively clear obstructive thorny vegetation and improve/level existing movement trails without damaging valuable vegetation, oak regeneration or natural forest renewal. Existing routes shall be preferred over creation of new trails wherever feasible.</w:t>
      </w:r>
    </w:p>
    <w:p w14:paraId="2DD9E779" w14:textId="77777777" w:rsidR="009052CC" w:rsidRDefault="00000000">
      <w:r>
        <w:t>ტერიტორია შერჩევითად გასუფთავდეს ეკალ-ბარდებისა და გადაადგილებისთვის ხელისშემშლელი მცენარეულობისგან; მოწესრიგდეს არსებული ბილიკები ისე, რომ არ დაზიანდეს ღირებული მცენარეულობა, მუხის ამონაყარი და ტყის ბუნებრივი განახლება. შესაძლებლობის ფარგლებში უპირატესობა მიენიჭოს არსებულ მარშრუტებს.</w:t>
      </w:r>
    </w:p>
    <w:p w14:paraId="1B91E321" w14:textId="77777777" w:rsidR="009052CC" w:rsidRDefault="00000000">
      <w:pPr>
        <w:pStyle w:val="Heading1"/>
      </w:pPr>
      <w:r>
        <w:t>6. GENERAL ENVIRONMENTAL AND DESIGN REQUIREMENTS / ზოგადი გარემოსდაცვითი და დიზაინის მოთხოვნები</w:t>
      </w:r>
    </w:p>
    <w:p w14:paraId="46C3181E" w14:textId="77777777" w:rsidR="009052CC" w:rsidRDefault="00000000">
      <w:r>
        <w:t>All works and infrastructure shall reflect the site's natural and landscape characteristics. Solutions causing unjustified ecosystem damage, destruction of oak regeneration or substantial alteration of the site's natural character are not acceptable. Minimal intervention, natural materials and environmentally compatible structures shall be prioritised.</w:t>
      </w:r>
    </w:p>
    <w:p w14:paraId="45811A67" w14:textId="77777777" w:rsidR="009052CC" w:rsidRDefault="00000000">
      <w:r>
        <w:t>ყველა სამუშაო და ინფრასტრუქტურული ელემენტი უნდა შეესაბამებოდეს ტერიტორიის ბუნებრივ და ლანდშაფტურ თავისებურებებს. დაუშვებელია ისეთი გადაწყვეტები, რომლებიც გამოიწვევს ეკოსისტემის გაუმართლებელ დაზიანებას, მუხის ბუნებრივი ამონაყარის განადგურებას ან ტერიტორიის ბუნებრივი ხასიათის არსებით ცვლილებას. უპირატესობა უნდა მიენიჭოს მინიმალურ ჩარევას, ბუნებრივ მასალებსა და გარემოსთან თავსებად კონსტრუქციებს.</w:t>
      </w:r>
    </w:p>
    <w:p w14:paraId="04DEC3A7" w14:textId="77777777" w:rsidR="009052CC" w:rsidRDefault="00000000">
      <w:pPr>
        <w:pStyle w:val="Heading1"/>
      </w:pPr>
      <w:r>
        <w:lastRenderedPageBreak/>
        <w:t>7. EXPECTED RESULTS / მოსალოდნელი შედეგები</w:t>
      </w:r>
    </w:p>
    <w:p w14:paraId="71049629" w14:textId="593092C6" w:rsidR="009052CC" w:rsidRDefault="00000000">
      <w:pPr>
        <w:pStyle w:val="ListNumber"/>
      </w:pPr>
      <w:r>
        <w:t>Organised parking for 15 passenger vehicles and 2 buses</w:t>
      </w:r>
      <w:r w:rsidR="003B0E6C">
        <w:t xml:space="preserve"> </w:t>
      </w:r>
      <w:r w:rsidR="003B0E6C" w:rsidRPr="003B0E6C">
        <w:t>with the vegetative separation</w:t>
      </w:r>
      <w:r>
        <w:t xml:space="preserve"> / </w:t>
      </w:r>
      <w:proofErr w:type="spellStart"/>
      <w:r>
        <w:t>ორგანიზებული</w:t>
      </w:r>
      <w:proofErr w:type="spellEnd"/>
      <w:r>
        <w:t xml:space="preserve"> </w:t>
      </w:r>
      <w:proofErr w:type="spellStart"/>
      <w:r>
        <w:t>ავტოსადგომი</w:t>
      </w:r>
      <w:proofErr w:type="spellEnd"/>
      <w:r>
        <w:t xml:space="preserve"> 15 მსუბუქი </w:t>
      </w:r>
      <w:proofErr w:type="spellStart"/>
      <w:r>
        <w:t>ავტომობილისა</w:t>
      </w:r>
      <w:proofErr w:type="spellEnd"/>
      <w:r>
        <w:t xml:space="preserve"> </w:t>
      </w:r>
      <w:proofErr w:type="spellStart"/>
      <w:r>
        <w:t>და</w:t>
      </w:r>
      <w:proofErr w:type="spellEnd"/>
      <w:r>
        <w:t xml:space="preserve"> 2 </w:t>
      </w:r>
      <w:proofErr w:type="spellStart"/>
      <w:r>
        <w:t>ავტობუსისთვის</w:t>
      </w:r>
      <w:proofErr w:type="spellEnd"/>
      <w:r w:rsidR="003B0E6C">
        <w:t xml:space="preserve">. </w:t>
      </w:r>
      <w:proofErr w:type="spellStart"/>
      <w:r w:rsidR="003B0E6C">
        <w:rPr>
          <w:rFonts w:ascii="Sylfaen" w:hAnsi="Sylfaen" w:cs="Sylfaen"/>
        </w:rPr>
        <w:t>ბუნებრივი</w:t>
      </w:r>
      <w:proofErr w:type="spellEnd"/>
      <w:r w:rsidR="003B0E6C">
        <w:t xml:space="preserve"> </w:t>
      </w:r>
      <w:proofErr w:type="spellStart"/>
      <w:r w:rsidR="003B0E6C">
        <w:rPr>
          <w:rFonts w:ascii="Sylfaen" w:hAnsi="Sylfaen" w:cs="Sylfaen"/>
        </w:rPr>
        <w:t>გამყოფი</w:t>
      </w:r>
      <w:proofErr w:type="spellEnd"/>
      <w:r w:rsidR="003B0E6C">
        <w:t xml:space="preserve"> </w:t>
      </w:r>
      <w:proofErr w:type="spellStart"/>
      <w:r w:rsidR="003B0E6C">
        <w:rPr>
          <w:rFonts w:ascii="Sylfaen" w:hAnsi="Sylfaen" w:cs="Sylfaen"/>
        </w:rPr>
        <w:t>ზოლი</w:t>
      </w:r>
      <w:proofErr w:type="spellEnd"/>
      <w:r w:rsidR="003B0E6C">
        <w:t xml:space="preserve"> </w:t>
      </w:r>
      <w:proofErr w:type="spellStart"/>
      <w:r w:rsidR="003B0E6C">
        <w:rPr>
          <w:rFonts w:ascii="Sylfaen" w:hAnsi="Sylfaen"/>
        </w:rPr>
        <w:t>ბუჩქის</w:t>
      </w:r>
      <w:proofErr w:type="spellEnd"/>
      <w:r w:rsidR="003B0E6C">
        <w:rPr>
          <w:rFonts w:ascii="Sylfaen" w:hAnsi="Sylfaen"/>
        </w:rPr>
        <w:t xml:space="preserve"> </w:t>
      </w:r>
      <w:proofErr w:type="spellStart"/>
      <w:r w:rsidR="003B0E6C">
        <w:rPr>
          <w:rFonts w:ascii="Sylfaen" w:hAnsi="Sylfaen" w:cs="Sylfaen"/>
        </w:rPr>
        <w:t>ნარგავებით</w:t>
      </w:r>
      <w:proofErr w:type="spellEnd"/>
      <w:r w:rsidR="003B0E6C">
        <w:t>;</w:t>
      </w:r>
    </w:p>
    <w:p w14:paraId="519B8AAC" w14:textId="77777777" w:rsidR="009052CC" w:rsidRDefault="00000000">
      <w:pPr>
        <w:pStyle w:val="ListNumber"/>
      </w:pPr>
      <w:r>
        <w:t>Safe access to the recreational area / უსაფრთხო მისასვლელი რეკრეაციულ სივრცემდე;</w:t>
      </w:r>
    </w:p>
    <w:p w14:paraId="5723D6C7" w14:textId="77777777" w:rsidR="009052CC" w:rsidRDefault="00000000">
      <w:pPr>
        <w:pStyle w:val="ListNumber"/>
      </w:pPr>
      <w:r>
        <w:t>Information and educational infrastructure / საინფორმაციო და საგანმანათლებლო ინფრასტრუქტურა;</w:t>
      </w:r>
    </w:p>
    <w:p w14:paraId="14F37885" w14:textId="77777777" w:rsidR="009052CC" w:rsidRDefault="00000000">
      <w:pPr>
        <w:pStyle w:val="ListNumber"/>
      </w:pPr>
      <w:r>
        <w:t>Picnic and resting infrastructure / მოწყობილი საპიკნიკე და დასასვენებელი სივრცე;</w:t>
      </w:r>
    </w:p>
    <w:p w14:paraId="5B635331" w14:textId="77777777" w:rsidR="009052CC" w:rsidRDefault="00000000">
      <w:pPr>
        <w:pStyle w:val="ListNumber"/>
      </w:pPr>
      <w:r>
        <w:t>Designated safe fire place / უსაფრთხოდ მოწყობილი ცეცხლის დასანთები ადგილი;</w:t>
      </w:r>
    </w:p>
    <w:p w14:paraId="0C7B6694" w14:textId="77777777" w:rsidR="009052CC" w:rsidRDefault="00000000">
      <w:pPr>
        <w:pStyle w:val="ListNumber"/>
      </w:pPr>
      <w:r>
        <w:t>Improved existing movement trails / მოწესრიგებული სამოძრაო ბილიკები;</w:t>
      </w:r>
    </w:p>
    <w:p w14:paraId="751B0531" w14:textId="77777777" w:rsidR="009052CC" w:rsidRDefault="00000000">
      <w:pPr>
        <w:pStyle w:val="ListNumber"/>
      </w:pPr>
      <w:r>
        <w:t>Recreational infrastructure integrated into the natural environment / ბუნებრივ გარემოსთან ინტეგრირებული რეკრეაციული ინფრასტრუქტურა.</w:t>
      </w:r>
    </w:p>
    <w:p w14:paraId="28A3294E" w14:textId="77777777" w:rsidR="009052CC" w:rsidRDefault="00000000">
      <w:pPr>
        <w:pStyle w:val="Heading1"/>
      </w:pPr>
      <w:r>
        <w:t>8. EVALUATION AND AWARD CRITERIA / შეფასებისა და გამარჯვებულის გამოვლენის კრიტერიუმები</w:t>
      </w:r>
    </w:p>
    <w:p w14:paraId="16745C98" w14:textId="77777777" w:rsidR="009052CC" w:rsidRDefault="00000000">
      <w:r>
        <w:t>Evaluation will be made in accordance with the quality/price-based selection method per REC Caucasus procedures and rules. Best value for money will be established by weighing technical quality against price on a 60/40 basis.</w:t>
      </w:r>
    </w:p>
    <w:p w14:paraId="09110319" w14:textId="77777777" w:rsidR="009052CC" w:rsidRDefault="00000000">
      <w:r>
        <w:t>შეფასება განხორციელდება ხარისხზე/ფასზე დაფუძნებული შერჩევის მეთოდის შესაბამისად, REC Caucasus-ის პროცედურებისა და წესების მიხედვით. საუკეთესო ღირებულება დადგინდება ტექნიკური ხარისხისა და ფასის 60/40 შეწონვის საფუძველზე.</w:t>
      </w:r>
    </w:p>
    <w:tbl>
      <w:tblPr>
        <w:tblStyle w:val="TableGrid"/>
        <w:tblW w:w="0" w:type="auto"/>
        <w:jc w:val="center"/>
        <w:tblLook w:val="04A0" w:firstRow="1" w:lastRow="0" w:firstColumn="1" w:lastColumn="0" w:noHBand="0" w:noVBand="1"/>
      </w:tblPr>
      <w:tblGrid>
        <w:gridCol w:w="3475"/>
        <w:gridCol w:w="3475"/>
        <w:gridCol w:w="3475"/>
      </w:tblGrid>
      <w:tr w:rsidR="009052CC" w14:paraId="03511CDF" w14:textId="77777777">
        <w:trPr>
          <w:jc w:val="center"/>
        </w:trPr>
        <w:tc>
          <w:tcPr>
            <w:tcW w:w="3475" w:type="dxa"/>
            <w:shd w:val="clear" w:color="auto" w:fill="D9EAD3"/>
            <w:vAlign w:val="center"/>
          </w:tcPr>
          <w:p w14:paraId="6CB07B52" w14:textId="77777777" w:rsidR="009052CC" w:rsidRDefault="00000000">
            <w:r>
              <w:rPr>
                <w:b/>
                <w:sz w:val="15"/>
              </w:rPr>
              <w:t>No. / №</w:t>
            </w:r>
          </w:p>
        </w:tc>
        <w:tc>
          <w:tcPr>
            <w:tcW w:w="3475" w:type="dxa"/>
            <w:shd w:val="clear" w:color="auto" w:fill="D9EAD3"/>
            <w:vAlign w:val="center"/>
          </w:tcPr>
          <w:p w14:paraId="4977DD31" w14:textId="77777777" w:rsidR="009052CC" w:rsidRDefault="00000000">
            <w:r>
              <w:rPr>
                <w:b/>
                <w:sz w:val="15"/>
              </w:rPr>
              <w:t>Award criterion / შეფასების კრიტერიუმი</w:t>
            </w:r>
          </w:p>
        </w:tc>
        <w:tc>
          <w:tcPr>
            <w:tcW w:w="3475" w:type="dxa"/>
            <w:shd w:val="clear" w:color="auto" w:fill="D9EAD3"/>
            <w:vAlign w:val="center"/>
          </w:tcPr>
          <w:p w14:paraId="166D89EE" w14:textId="77777777" w:rsidR="009052CC" w:rsidRDefault="00000000">
            <w:r>
              <w:rPr>
                <w:b/>
                <w:sz w:val="15"/>
              </w:rPr>
              <w:t>Maximum score / მაქს. ქულა</w:t>
            </w:r>
          </w:p>
        </w:tc>
      </w:tr>
      <w:tr w:rsidR="009052CC" w14:paraId="3B2EB80B" w14:textId="77777777">
        <w:trPr>
          <w:jc w:val="center"/>
        </w:trPr>
        <w:tc>
          <w:tcPr>
            <w:tcW w:w="3475" w:type="dxa"/>
            <w:vAlign w:val="center"/>
          </w:tcPr>
          <w:p w14:paraId="59CD4D55" w14:textId="77777777" w:rsidR="009052CC" w:rsidRDefault="00000000">
            <w:r>
              <w:rPr>
                <w:b/>
                <w:sz w:val="16"/>
              </w:rPr>
              <w:t>1</w:t>
            </w:r>
          </w:p>
        </w:tc>
        <w:tc>
          <w:tcPr>
            <w:tcW w:w="3475" w:type="dxa"/>
            <w:vAlign w:val="center"/>
          </w:tcPr>
          <w:p w14:paraId="341CAA2C" w14:textId="77777777" w:rsidR="009052CC" w:rsidRDefault="00000000">
            <w:r>
              <w:rPr>
                <w:sz w:val="14"/>
              </w:rPr>
              <w:t>Compliance and quality of the proposed technical solution in relation to the ToR and scope of works / შემოთავაზებული ტექნიკური გადაწყვეტის შესაბამისობა და ხარისხი ტექნიკურ დავალებასა და სამუშაოების მოცულობასთან</w:t>
            </w:r>
          </w:p>
        </w:tc>
        <w:tc>
          <w:tcPr>
            <w:tcW w:w="3475" w:type="dxa"/>
            <w:vAlign w:val="center"/>
          </w:tcPr>
          <w:p w14:paraId="4AB920DE" w14:textId="77777777" w:rsidR="009052CC" w:rsidRDefault="00000000">
            <w:r>
              <w:rPr>
                <w:b/>
                <w:sz w:val="16"/>
              </w:rPr>
              <w:t>20</w:t>
            </w:r>
          </w:p>
        </w:tc>
      </w:tr>
      <w:tr w:rsidR="009052CC" w14:paraId="4C39C404" w14:textId="77777777">
        <w:trPr>
          <w:jc w:val="center"/>
        </w:trPr>
        <w:tc>
          <w:tcPr>
            <w:tcW w:w="3475" w:type="dxa"/>
            <w:vAlign w:val="center"/>
          </w:tcPr>
          <w:p w14:paraId="0A575E35" w14:textId="77777777" w:rsidR="009052CC" w:rsidRDefault="00000000">
            <w:r>
              <w:rPr>
                <w:b/>
                <w:sz w:val="16"/>
              </w:rPr>
              <w:t>2</w:t>
            </w:r>
          </w:p>
        </w:tc>
        <w:tc>
          <w:tcPr>
            <w:tcW w:w="3475" w:type="dxa"/>
            <w:vAlign w:val="center"/>
          </w:tcPr>
          <w:p w14:paraId="54C5D36C" w14:textId="77777777" w:rsidR="009052CC" w:rsidRDefault="00000000">
            <w:r>
              <w:rPr>
                <w:sz w:val="14"/>
              </w:rPr>
              <w:t>Application of Nature-based Solutions (NbS), integration of infrastructure into the natural environment, and minimisation of ecological impact / Nature-based Solutions (NbS) პრინციპების გამოყენება, ინფრასტრუქტურის ბუნებრივ გარემოში ინტეგრაცია და ეკოსისტემაზე ზემოქმედების მინიმიზაცია</w:t>
            </w:r>
          </w:p>
        </w:tc>
        <w:tc>
          <w:tcPr>
            <w:tcW w:w="3475" w:type="dxa"/>
            <w:vAlign w:val="center"/>
          </w:tcPr>
          <w:p w14:paraId="444CAA9B" w14:textId="77777777" w:rsidR="009052CC" w:rsidRDefault="00000000">
            <w:r>
              <w:rPr>
                <w:b/>
                <w:sz w:val="16"/>
              </w:rPr>
              <w:t>15</w:t>
            </w:r>
          </w:p>
        </w:tc>
      </w:tr>
      <w:tr w:rsidR="009052CC" w14:paraId="4469D66D" w14:textId="77777777">
        <w:trPr>
          <w:jc w:val="center"/>
        </w:trPr>
        <w:tc>
          <w:tcPr>
            <w:tcW w:w="3475" w:type="dxa"/>
            <w:vAlign w:val="center"/>
          </w:tcPr>
          <w:p w14:paraId="5F21A0C6" w14:textId="77777777" w:rsidR="009052CC" w:rsidRDefault="00000000">
            <w:r>
              <w:rPr>
                <w:b/>
                <w:sz w:val="16"/>
              </w:rPr>
              <w:t>3</w:t>
            </w:r>
          </w:p>
        </w:tc>
        <w:tc>
          <w:tcPr>
            <w:tcW w:w="3475" w:type="dxa"/>
            <w:vAlign w:val="center"/>
          </w:tcPr>
          <w:p w14:paraId="2821A52C" w14:textId="77777777" w:rsidR="009052CC" w:rsidRDefault="00000000">
            <w:r>
              <w:rPr>
                <w:sz w:val="14"/>
              </w:rPr>
              <w:t>Implementation methodology and work plan, including measures to protect vegetation, oak regeneration and soil during works / განხორციელების მეთოდოლოგია და სამუშაო გეგმა, მათ შორის მცენარეულობის, მუხის ამონაყარისა და ნიადაგის დაცვის ღონისძიებები</w:t>
            </w:r>
          </w:p>
        </w:tc>
        <w:tc>
          <w:tcPr>
            <w:tcW w:w="3475" w:type="dxa"/>
            <w:vAlign w:val="center"/>
          </w:tcPr>
          <w:p w14:paraId="2DCA4946" w14:textId="77777777" w:rsidR="009052CC" w:rsidRDefault="00000000">
            <w:r>
              <w:rPr>
                <w:b/>
                <w:sz w:val="16"/>
              </w:rPr>
              <w:t>10</w:t>
            </w:r>
          </w:p>
        </w:tc>
      </w:tr>
      <w:tr w:rsidR="009052CC" w14:paraId="307F4740" w14:textId="77777777">
        <w:trPr>
          <w:jc w:val="center"/>
        </w:trPr>
        <w:tc>
          <w:tcPr>
            <w:tcW w:w="3475" w:type="dxa"/>
            <w:vAlign w:val="center"/>
          </w:tcPr>
          <w:p w14:paraId="2B53DED4" w14:textId="77777777" w:rsidR="009052CC" w:rsidRDefault="00000000">
            <w:r>
              <w:rPr>
                <w:b/>
                <w:sz w:val="16"/>
              </w:rPr>
              <w:t>4</w:t>
            </w:r>
          </w:p>
        </w:tc>
        <w:tc>
          <w:tcPr>
            <w:tcW w:w="3475" w:type="dxa"/>
            <w:vAlign w:val="center"/>
          </w:tcPr>
          <w:p w14:paraId="4B982C94" w14:textId="77777777" w:rsidR="009052CC" w:rsidRDefault="00000000">
            <w:r>
              <w:rPr>
                <w:sz w:val="14"/>
              </w:rPr>
              <w:t>Relevant organisational experience in similar landscaping, recreational infrastructure, civil works, forestry and/or green infrastructure assignments / ორგანიზაციის შესაბამისი გამოცდილება მსგავსი ლანდშაფტური, რეკრეაციული ინფრასტრუქტურის, სამშენებლო, სატყეო და/ან მწვანე ინფრასტრუქტურის სამუშაოებში</w:t>
            </w:r>
          </w:p>
        </w:tc>
        <w:tc>
          <w:tcPr>
            <w:tcW w:w="3475" w:type="dxa"/>
            <w:vAlign w:val="center"/>
          </w:tcPr>
          <w:p w14:paraId="27F30122" w14:textId="77777777" w:rsidR="009052CC" w:rsidRDefault="00000000">
            <w:r>
              <w:rPr>
                <w:b/>
                <w:sz w:val="16"/>
              </w:rPr>
              <w:t>10</w:t>
            </w:r>
          </w:p>
        </w:tc>
      </w:tr>
      <w:tr w:rsidR="009052CC" w14:paraId="49277F97" w14:textId="77777777">
        <w:trPr>
          <w:jc w:val="center"/>
        </w:trPr>
        <w:tc>
          <w:tcPr>
            <w:tcW w:w="3475" w:type="dxa"/>
            <w:vAlign w:val="center"/>
          </w:tcPr>
          <w:p w14:paraId="1DDD2A2F" w14:textId="77777777" w:rsidR="009052CC" w:rsidRDefault="00000000">
            <w:r>
              <w:rPr>
                <w:b/>
                <w:sz w:val="16"/>
              </w:rPr>
              <w:t>5</w:t>
            </w:r>
          </w:p>
        </w:tc>
        <w:tc>
          <w:tcPr>
            <w:tcW w:w="3475" w:type="dxa"/>
            <w:vAlign w:val="center"/>
          </w:tcPr>
          <w:p w14:paraId="48A80EF0" w14:textId="77777777" w:rsidR="009052CC" w:rsidRDefault="00000000">
            <w:r>
              <w:rPr>
                <w:sz w:val="14"/>
              </w:rPr>
              <w:t>Adequacy of proposed key personnel and technical resources / შემოთავაზებული ძირითადი პერსონალისა და ტექნიკური რესურსების შესაბამისობა</w:t>
            </w:r>
          </w:p>
        </w:tc>
        <w:tc>
          <w:tcPr>
            <w:tcW w:w="3475" w:type="dxa"/>
            <w:vAlign w:val="center"/>
          </w:tcPr>
          <w:p w14:paraId="7251DA10" w14:textId="77777777" w:rsidR="009052CC" w:rsidRDefault="00000000">
            <w:r>
              <w:rPr>
                <w:b/>
                <w:sz w:val="16"/>
              </w:rPr>
              <w:t>5</w:t>
            </w:r>
          </w:p>
        </w:tc>
      </w:tr>
      <w:tr w:rsidR="009052CC" w14:paraId="3CCB13E0" w14:textId="77777777">
        <w:trPr>
          <w:jc w:val="center"/>
        </w:trPr>
        <w:tc>
          <w:tcPr>
            <w:tcW w:w="3475" w:type="dxa"/>
            <w:vAlign w:val="center"/>
          </w:tcPr>
          <w:p w14:paraId="0B568D5D" w14:textId="77777777" w:rsidR="009052CC" w:rsidRDefault="009052CC"/>
        </w:tc>
        <w:tc>
          <w:tcPr>
            <w:tcW w:w="3475" w:type="dxa"/>
            <w:vAlign w:val="center"/>
          </w:tcPr>
          <w:p w14:paraId="1279E388" w14:textId="77777777" w:rsidR="009052CC" w:rsidRDefault="00000000">
            <w:r>
              <w:rPr>
                <w:b/>
                <w:sz w:val="16"/>
              </w:rPr>
              <w:t>TOTAL TECHNICAL SCORE / ტექნიკური შეფასება სულ</w:t>
            </w:r>
          </w:p>
        </w:tc>
        <w:tc>
          <w:tcPr>
            <w:tcW w:w="3475" w:type="dxa"/>
            <w:vAlign w:val="center"/>
          </w:tcPr>
          <w:p w14:paraId="691A9B77" w14:textId="77777777" w:rsidR="009052CC" w:rsidRDefault="00000000">
            <w:r>
              <w:rPr>
                <w:b/>
                <w:sz w:val="16"/>
              </w:rPr>
              <w:t>60</w:t>
            </w:r>
          </w:p>
        </w:tc>
      </w:tr>
    </w:tbl>
    <w:p w14:paraId="55C64493" w14:textId="77777777" w:rsidR="009052CC" w:rsidRDefault="00000000">
      <w:r>
        <w:t>Minimum technical threshold: 42/60 points (70%). Only technically qualifying tenders will proceed to financial evaluation.</w:t>
      </w:r>
      <w:r>
        <w:br/>
        <w:t>მინიმალური ტექნიკური ზღვარი: 42/60 ქულა (70%). ფინანსურ შეფასებაზე გადავა მხოლოდ ტექნიკურად კვალიფიცირებული წინადადებები.</w:t>
      </w:r>
    </w:p>
    <w:p w14:paraId="3241B131" w14:textId="77777777" w:rsidR="009052CC" w:rsidRDefault="00000000">
      <w:r>
        <w:t>Financial evaluation (maximum 40 points): Financial Score = (Lowest Evaluated Price / Tenderer's Evaluated Price) × 40.</w:t>
      </w:r>
      <w:r>
        <w:br/>
        <w:t>ფინანსური შეფასება (მაქსიმუმ 40 ქულა): ფინანსური ქულა = (ყველაზე დაბალი შეფასებული ფასი / შესაფასებელი პრეტენდენტის ფასი) × 40.</w:t>
      </w:r>
    </w:p>
    <w:p w14:paraId="1D376CF6" w14:textId="77777777" w:rsidR="009052CC" w:rsidRDefault="00000000">
      <w:r>
        <w:lastRenderedPageBreak/>
        <w:t>Final Score = Technical Score + Financial Score. The compliant tenderer obtaining the highest final weighted score will be recommended for award.</w:t>
      </w:r>
      <w:r>
        <w:br/>
        <w:t>საბოლოო ქულა = ტექნიკური ქულა + ფინანსური ქულა. გამარჯვებულად რეკომენდებული იქნება მოთხოვნებთან შესაბამისი პრეტენდენტი, რომელიც მიიღებს ყველაზე მაღალ საბოლოო შეწონილ ქულას.</w:t>
      </w:r>
    </w:p>
    <w:sectPr w:rsidR="009052CC" w:rsidSect="00034616">
      <w:pgSz w:w="12240" w:h="15840"/>
      <w:pgMar w:top="907" w:right="907" w:bottom="907" w:left="90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1002AFF" w:usb1="C000ACFF"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 w:name="Sylfaen">
    <w:panose1 w:val="010A0502050306030303"/>
    <w:charset w:val="00"/>
    <w:family w:val="roman"/>
    <w:pitch w:val="variable"/>
    <w:sig w:usb0="040006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239902968">
    <w:abstractNumId w:val="8"/>
  </w:num>
  <w:num w:numId="2" w16cid:durableId="314114176">
    <w:abstractNumId w:val="6"/>
  </w:num>
  <w:num w:numId="3" w16cid:durableId="1874269489">
    <w:abstractNumId w:val="5"/>
  </w:num>
  <w:num w:numId="4" w16cid:durableId="288441314">
    <w:abstractNumId w:val="4"/>
  </w:num>
  <w:num w:numId="5" w16cid:durableId="574822107">
    <w:abstractNumId w:val="7"/>
  </w:num>
  <w:num w:numId="6" w16cid:durableId="1718159275">
    <w:abstractNumId w:val="3"/>
  </w:num>
  <w:num w:numId="7" w16cid:durableId="495077199">
    <w:abstractNumId w:val="2"/>
  </w:num>
  <w:num w:numId="8" w16cid:durableId="1117875742">
    <w:abstractNumId w:val="1"/>
  </w:num>
  <w:num w:numId="9" w16cid:durableId="1503469693">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9"/>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3B0E6C"/>
    <w:rsid w:val="009052CC"/>
    <w:rsid w:val="00AA1D8D"/>
    <w:rsid w:val="00B47730"/>
    <w:rsid w:val="00CB0664"/>
    <w:rsid w:val="00FC693F"/>
    <w:rsid w:val="00FE22B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82D204"/>
  <w14:defaultImageDpi w14:val="300"/>
  <w15:docId w15:val="{4F5D3A0B-55DE-C943-8D7E-841C4A3789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hAnsi="Arial"/>
      <w:sz w:val="1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2159</Words>
  <Characters>12312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14443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MAYA TALAKHADZE</cp:lastModifiedBy>
  <cp:revision>2</cp:revision>
  <dcterms:created xsi:type="dcterms:W3CDTF">2013-12-23T23:15:00Z</dcterms:created>
  <dcterms:modified xsi:type="dcterms:W3CDTF">2026-09-02T08:59:00Z</dcterms:modified>
  <cp:category/>
</cp:coreProperties>
</file>