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085" w:rsidRDefault="00B03730">
      <w:pPr>
        <w:jc w:val="center"/>
      </w:pPr>
      <w:r>
        <w:rPr>
          <w:b/>
          <w:color w:val="CF671E"/>
          <w:sz w:val="30"/>
        </w:rPr>
        <w:t>დანართი</w:t>
      </w:r>
      <w:r>
        <w:rPr>
          <w:b/>
          <w:color w:val="CF671E"/>
          <w:sz w:val="30"/>
        </w:rPr>
        <w:t xml:space="preserve"> №2 — </w:t>
      </w:r>
      <w:r>
        <w:rPr>
          <w:b/>
          <w:color w:val="CF671E"/>
          <w:sz w:val="30"/>
        </w:rPr>
        <w:t>ფასების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ცხრილი</w:t>
      </w:r>
    </w:p>
    <w:p w:rsidR="00C03085" w:rsidRDefault="00B03730">
      <w:r>
        <w:t>შესყიდვის</w:t>
      </w:r>
      <w:r>
        <w:t xml:space="preserve"> </w:t>
      </w:r>
      <w:r>
        <w:t>ობიექტი</w:t>
      </w:r>
      <w:r>
        <w:t xml:space="preserve">: HPE SSD </w:t>
      </w:r>
      <w:r>
        <w:t>დისკების</w:t>
      </w:r>
      <w:r>
        <w:t xml:space="preserve"> </w:t>
      </w:r>
      <w:r>
        <w:t>შესყიდვა</w:t>
      </w:r>
    </w:p>
    <w:tbl>
      <w:tblPr>
        <w:tblStyle w:val="TableGrid"/>
        <w:tblW w:w="10656" w:type="dxa"/>
        <w:jc w:val="center"/>
        <w:tblLook w:val="04A0" w:firstRow="1" w:lastRow="0" w:firstColumn="1" w:lastColumn="0" w:noHBand="0" w:noVBand="1"/>
      </w:tblPr>
      <w:tblGrid>
        <w:gridCol w:w="404"/>
        <w:gridCol w:w="6526"/>
        <w:gridCol w:w="1233"/>
        <w:gridCol w:w="1233"/>
        <w:gridCol w:w="1260"/>
      </w:tblGrid>
      <w:tr w:rsidR="00C03085" w:rsidTr="008D2A49">
        <w:trPr>
          <w:trHeight w:val="565"/>
          <w:jc w:val="center"/>
        </w:trPr>
        <w:tc>
          <w:tcPr>
            <w:tcW w:w="404" w:type="dxa"/>
            <w:shd w:val="clear" w:color="auto" w:fill="F5E9E0"/>
          </w:tcPr>
          <w:p w:rsidR="00C03085" w:rsidRDefault="00B03730">
            <w:bookmarkStart w:id="0" w:name="_GoBack"/>
            <w:bookmarkEnd w:id="0"/>
            <w:r>
              <w:rPr>
                <w:b/>
                <w:sz w:val="18"/>
              </w:rPr>
              <w:t>№</w:t>
            </w:r>
          </w:p>
        </w:tc>
        <w:tc>
          <w:tcPr>
            <w:tcW w:w="6526" w:type="dxa"/>
            <w:shd w:val="clear" w:color="auto" w:fill="F5E9E0"/>
          </w:tcPr>
          <w:p w:rsidR="00C03085" w:rsidRDefault="00B03730">
            <w:r>
              <w:t>პროდუქტის</w:t>
            </w:r>
            <w:r>
              <w:t xml:space="preserve"> </w:t>
            </w:r>
            <w:r>
              <w:t>დასახელება</w:t>
            </w:r>
            <w:r>
              <w:t xml:space="preserve"> </w:t>
            </w:r>
            <w:r>
              <w:t>და</w:t>
            </w:r>
            <w:r>
              <w:t xml:space="preserve"> </w:t>
            </w:r>
            <w:r>
              <w:t>მახასიათებლები</w:t>
            </w:r>
          </w:p>
        </w:tc>
        <w:tc>
          <w:tcPr>
            <w:tcW w:w="1233" w:type="dxa"/>
            <w:shd w:val="clear" w:color="auto" w:fill="F5E9E0"/>
          </w:tcPr>
          <w:p w:rsidR="00C03085" w:rsidRDefault="00B03730">
            <w:r>
              <w:rPr>
                <w:b/>
                <w:sz w:val="18"/>
              </w:rPr>
              <w:t>რაოდენობა</w:t>
            </w:r>
          </w:p>
        </w:tc>
        <w:tc>
          <w:tcPr>
            <w:tcW w:w="1233" w:type="dxa"/>
            <w:shd w:val="clear" w:color="auto" w:fill="F5E9E0"/>
          </w:tcPr>
          <w:p w:rsidR="00C03085" w:rsidRDefault="00B03730">
            <w:r>
              <w:rPr>
                <w:b/>
                <w:sz w:val="18"/>
              </w:rPr>
              <w:t>ერთეულის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  <w:tc>
          <w:tcPr>
            <w:tcW w:w="1260" w:type="dxa"/>
            <w:shd w:val="clear" w:color="auto" w:fill="F5E9E0"/>
          </w:tcPr>
          <w:p w:rsidR="00C03085" w:rsidRDefault="00B03730">
            <w:r>
              <w:rPr>
                <w:b/>
                <w:sz w:val="18"/>
              </w:rPr>
              <w:t>საერთო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</w:tr>
      <w:tr w:rsidR="00C03085" w:rsidTr="008D2A49">
        <w:trPr>
          <w:trHeight w:val="610"/>
          <w:jc w:val="center"/>
        </w:trPr>
        <w:tc>
          <w:tcPr>
            <w:tcW w:w="404" w:type="dxa"/>
            <w:vAlign w:val="center"/>
          </w:tcPr>
          <w:p w:rsidR="00C03085" w:rsidRDefault="00B03730">
            <w:r>
              <w:rPr>
                <w:sz w:val="18"/>
              </w:rPr>
              <w:t>1</w:t>
            </w:r>
          </w:p>
        </w:tc>
        <w:tc>
          <w:tcPr>
            <w:tcW w:w="6526" w:type="dxa"/>
            <w:vAlign w:val="center"/>
          </w:tcPr>
          <w:p w:rsidR="00C03085" w:rsidRDefault="00B03730">
            <w:r>
              <w:t>HPE EO000400JWUGC — Cache SSD; 400 GB; SAS 12G; Write Intensive; SFF, 2.5-inch</w:t>
            </w:r>
          </w:p>
        </w:tc>
        <w:tc>
          <w:tcPr>
            <w:tcW w:w="1233" w:type="dxa"/>
            <w:vAlign w:val="center"/>
          </w:tcPr>
          <w:p w:rsidR="00C03085" w:rsidRDefault="00B03730" w:rsidP="008D2A49">
            <w:pPr>
              <w:jc w:val="center"/>
            </w:pPr>
            <w:r>
              <w:t>4</w:t>
            </w:r>
          </w:p>
        </w:tc>
        <w:tc>
          <w:tcPr>
            <w:tcW w:w="1233" w:type="dxa"/>
            <w:vAlign w:val="center"/>
          </w:tcPr>
          <w:p w:rsidR="00C03085" w:rsidRDefault="00C03085"/>
        </w:tc>
        <w:tc>
          <w:tcPr>
            <w:tcW w:w="1260" w:type="dxa"/>
            <w:vAlign w:val="center"/>
          </w:tcPr>
          <w:p w:rsidR="00C03085" w:rsidRDefault="00C03085"/>
        </w:tc>
      </w:tr>
      <w:tr w:rsidR="00C03085" w:rsidTr="008D2A49">
        <w:trPr>
          <w:trHeight w:val="621"/>
          <w:jc w:val="center"/>
        </w:trPr>
        <w:tc>
          <w:tcPr>
            <w:tcW w:w="404" w:type="dxa"/>
          </w:tcPr>
          <w:p w:rsidR="00C03085" w:rsidRDefault="00B03730">
            <w:r>
              <w:t>2</w:t>
            </w:r>
          </w:p>
        </w:tc>
        <w:tc>
          <w:tcPr>
            <w:tcW w:w="6526" w:type="dxa"/>
          </w:tcPr>
          <w:p w:rsidR="00C03085" w:rsidRDefault="00B03730">
            <w:r>
              <w:t xml:space="preserve">HPE </w:t>
            </w:r>
            <w:r>
              <w:t>MO001600JWDLA — Capacity SSD; 1.6 TB; SAS 12G; Mixed Use (MU); SFF, 2.5-inch</w:t>
            </w:r>
          </w:p>
        </w:tc>
        <w:tc>
          <w:tcPr>
            <w:tcW w:w="1233" w:type="dxa"/>
          </w:tcPr>
          <w:p w:rsidR="00C03085" w:rsidRDefault="00B03730" w:rsidP="008D2A49">
            <w:pPr>
              <w:jc w:val="center"/>
            </w:pPr>
            <w:r>
              <w:t>1</w:t>
            </w:r>
          </w:p>
        </w:tc>
        <w:tc>
          <w:tcPr>
            <w:tcW w:w="1233" w:type="dxa"/>
          </w:tcPr>
          <w:p w:rsidR="00C03085" w:rsidRDefault="00C03085"/>
        </w:tc>
        <w:tc>
          <w:tcPr>
            <w:tcW w:w="1260" w:type="dxa"/>
          </w:tcPr>
          <w:p w:rsidR="00C03085" w:rsidRDefault="00C03085"/>
        </w:tc>
      </w:tr>
      <w:tr w:rsidR="00C03085" w:rsidTr="008D2A49">
        <w:trPr>
          <w:trHeight w:val="366"/>
          <w:jc w:val="center"/>
        </w:trPr>
        <w:tc>
          <w:tcPr>
            <w:tcW w:w="404" w:type="dxa"/>
            <w:vAlign w:val="center"/>
          </w:tcPr>
          <w:p w:rsidR="00C03085" w:rsidRDefault="00C03085"/>
        </w:tc>
        <w:tc>
          <w:tcPr>
            <w:tcW w:w="6526" w:type="dxa"/>
            <w:vAlign w:val="center"/>
          </w:tcPr>
          <w:p w:rsidR="00C03085" w:rsidRDefault="00B03730">
            <w:r>
              <w:rPr>
                <w:sz w:val="18"/>
              </w:rPr>
              <w:t>სულ</w:t>
            </w:r>
            <w:r>
              <w:rPr>
                <w:sz w:val="18"/>
              </w:rPr>
              <w:t xml:space="preserve"> (USD), </w:t>
            </w:r>
            <w:r>
              <w:rPr>
                <w:sz w:val="18"/>
              </w:rPr>
              <w:t>ყველა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გადასახადისა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მიწოდების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ჩათვლით</w:t>
            </w:r>
          </w:p>
        </w:tc>
        <w:tc>
          <w:tcPr>
            <w:tcW w:w="1233" w:type="dxa"/>
            <w:vAlign w:val="center"/>
          </w:tcPr>
          <w:p w:rsidR="00C03085" w:rsidRDefault="00C03085"/>
        </w:tc>
        <w:tc>
          <w:tcPr>
            <w:tcW w:w="1233" w:type="dxa"/>
            <w:vAlign w:val="center"/>
          </w:tcPr>
          <w:p w:rsidR="00C03085" w:rsidRDefault="00C03085"/>
        </w:tc>
        <w:tc>
          <w:tcPr>
            <w:tcW w:w="1260" w:type="dxa"/>
            <w:vAlign w:val="center"/>
          </w:tcPr>
          <w:p w:rsidR="00C03085" w:rsidRDefault="00C03085"/>
        </w:tc>
      </w:tr>
    </w:tbl>
    <w:p w:rsidR="00C03085" w:rsidRDefault="00B03730">
      <w:proofErr w:type="spellStart"/>
      <w:r>
        <w:t>ფასი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მოიცავდეს</w:t>
      </w:r>
      <w:proofErr w:type="spellEnd"/>
      <w:r>
        <w:t xml:space="preserve"> </w:t>
      </w:r>
      <w:proofErr w:type="spellStart"/>
      <w:r>
        <w:t>დღგ</w:t>
      </w:r>
      <w:proofErr w:type="spellEnd"/>
      <w:r>
        <w:t>-</w:t>
      </w:r>
      <w:r>
        <w:t>ს</w:t>
      </w:r>
      <w:r>
        <w:t xml:space="preserve">, </w:t>
      </w:r>
      <w:r>
        <w:t>ყველა</w:t>
      </w:r>
      <w:r>
        <w:t xml:space="preserve"> </w:t>
      </w:r>
      <w:r>
        <w:t>შესაბამის</w:t>
      </w:r>
      <w:r>
        <w:t xml:space="preserve"> </w:t>
      </w:r>
      <w:r>
        <w:t>გადასახადსა</w:t>
      </w:r>
      <w:r>
        <w:t xml:space="preserve"> </w:t>
      </w:r>
      <w:r>
        <w:t>და</w:t>
      </w:r>
      <w:r>
        <w:t xml:space="preserve"> </w:t>
      </w:r>
      <w:r>
        <w:t>მიწოდებას</w:t>
      </w:r>
      <w:r>
        <w:t xml:space="preserve"> </w:t>
      </w:r>
      <w:r>
        <w:t>მისამართზე</w:t>
      </w:r>
      <w:r>
        <w:t xml:space="preserve">: </w:t>
      </w:r>
      <w:r>
        <w:t>ქ</w:t>
      </w:r>
      <w:r>
        <w:t xml:space="preserve">. </w:t>
      </w:r>
      <w:r>
        <w:t>თბილისი</w:t>
      </w:r>
      <w:r>
        <w:t xml:space="preserve">, </w:t>
      </w:r>
      <w:r>
        <w:t>ბელიაშვილის</w:t>
      </w:r>
      <w:r>
        <w:t xml:space="preserve"> </w:t>
      </w:r>
      <w:r>
        <w:t>ქ</w:t>
      </w:r>
      <w:r>
        <w:t xml:space="preserve">. №106. </w:t>
      </w:r>
      <w:r>
        <w:t>მიწოდების</w:t>
      </w:r>
      <w:r>
        <w:t xml:space="preserve"> </w:t>
      </w:r>
      <w:r>
        <w:t>ბოლო</w:t>
      </w:r>
      <w:r>
        <w:t xml:space="preserve"> </w:t>
      </w:r>
      <w:r>
        <w:t>ვადა</w:t>
      </w:r>
      <w:r>
        <w:t xml:space="preserve">: 2026 </w:t>
      </w:r>
      <w:r>
        <w:t>წლის</w:t>
      </w:r>
      <w:r>
        <w:t xml:space="preserve"> 30 </w:t>
      </w:r>
      <w:r>
        <w:t>ნოემბერი</w:t>
      </w:r>
      <w:r>
        <w:t>.</w:t>
      </w:r>
    </w:p>
    <w:p w:rsidR="00C03085" w:rsidRDefault="00C03085"/>
    <w:p w:rsidR="00C03085" w:rsidRDefault="00B03730">
      <w:r>
        <w:t>პრეტენდენტის</w:t>
      </w:r>
      <w:r>
        <w:t xml:space="preserve"> </w:t>
      </w:r>
      <w:r>
        <w:t>უფლებამოსილი</w:t>
      </w:r>
      <w:r>
        <w:t xml:space="preserve"> </w:t>
      </w:r>
      <w:r>
        <w:t>პირი</w:t>
      </w:r>
      <w:r>
        <w:t>: __________________________</w:t>
      </w:r>
    </w:p>
    <w:p w:rsidR="00C03085" w:rsidRDefault="00B03730">
      <w:r>
        <w:t>სახელი</w:t>
      </w:r>
      <w:r>
        <w:t xml:space="preserve">, </w:t>
      </w:r>
      <w:r>
        <w:t>გვარი</w:t>
      </w:r>
      <w:r>
        <w:t xml:space="preserve"> / </w:t>
      </w:r>
      <w:r>
        <w:t>თანამდებობა</w:t>
      </w:r>
      <w:r>
        <w:t>: ______________________________</w:t>
      </w:r>
    </w:p>
    <w:p w:rsidR="00C03085" w:rsidRDefault="00B03730">
      <w:r>
        <w:t>ხელმოწერა</w:t>
      </w:r>
      <w:r>
        <w:t xml:space="preserve">: ____________________    </w:t>
      </w:r>
      <w:r>
        <w:t>თარიღი</w:t>
      </w:r>
      <w:r>
        <w:t>: ______________</w:t>
      </w:r>
    </w:p>
    <w:sectPr w:rsidR="00C03085" w:rsidSect="00034616">
      <w:headerReference w:type="default" r:id="rId8"/>
      <w:footerReference w:type="default" r:id="rId9"/>
      <w:pgSz w:w="12240" w:h="15840"/>
      <w:pgMar w:top="1152" w:right="1181" w:bottom="1080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30" w:rsidRDefault="00B03730">
      <w:pPr>
        <w:spacing w:after="0" w:line="240" w:lineRule="auto"/>
      </w:pPr>
      <w:r>
        <w:separator/>
      </w:r>
    </w:p>
  </w:endnote>
  <w:endnote w:type="continuationSeparator" w:id="0">
    <w:p w:rsidR="00B03730" w:rsidRDefault="00B0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085" w:rsidRDefault="00B03730">
    <w:pPr>
      <w:pStyle w:val="Footer"/>
      <w:jc w:val="center"/>
    </w:pPr>
    <w:r>
      <w:rPr>
        <w:sz w:val="16"/>
      </w:rPr>
      <w:t>შპს</w:t>
    </w:r>
    <w:r>
      <w:rPr>
        <w:sz w:val="16"/>
      </w:rPr>
      <w:t xml:space="preserve"> „</w:t>
    </w:r>
    <w:r>
      <w:rPr>
        <w:sz w:val="16"/>
      </w:rPr>
      <w:t>მეტრო</w:t>
    </w:r>
    <w:r>
      <w:rPr>
        <w:sz w:val="16"/>
      </w:rPr>
      <w:t xml:space="preserve"> </w:t>
    </w:r>
    <w:r>
      <w:rPr>
        <w:sz w:val="16"/>
      </w:rPr>
      <w:t>სერვის</w:t>
    </w:r>
    <w:r>
      <w:rPr>
        <w:sz w:val="16"/>
      </w:rPr>
      <w:t xml:space="preserve"> +“  •  www.tenders.ge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30" w:rsidRDefault="00B03730">
      <w:pPr>
        <w:spacing w:after="0" w:line="240" w:lineRule="auto"/>
      </w:pPr>
      <w:r>
        <w:separator/>
      </w:r>
    </w:p>
  </w:footnote>
  <w:footnote w:type="continuationSeparator" w:id="0">
    <w:p w:rsidR="00B03730" w:rsidRDefault="00B0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085" w:rsidRDefault="00B03730">
    <w:pPr>
      <w:pStyle w:val="Header"/>
    </w:pPr>
    <w:r>
      <w:rPr>
        <w:noProof/>
      </w:rPr>
      <w:drawing>
        <wp:inline distT="0" distB="0" distL="0" distR="0">
          <wp:extent cx="114300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D2A49"/>
    <w:rsid w:val="00AA1D8D"/>
    <w:rsid w:val="00B03730"/>
    <w:rsid w:val="00B47730"/>
    <w:rsid w:val="00C030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FFF52A1-CDA8-4E61-A555-0DAAEB13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Sylfaen" w:hAnsi="Sylfaen"/>
      <w:color w:val="2830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46D11C-1871-46AE-822F-FC354BBE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2013-12-23T23:15:00Z</dcterms:created>
  <dcterms:modified xsi:type="dcterms:W3CDTF">2026-10-12T09:44:00Z</dcterms:modified>
  <cp:category/>
</cp:coreProperties>
</file>